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2AA9" w:rsidRDefault="00B42AA9" w:rsidP="00F935D4">
      <w:pPr>
        <w:jc w:val="center"/>
        <w:rPr>
          <w:rStyle w:val="Emphasis"/>
          <w:b/>
          <w:i w:val="0"/>
        </w:rPr>
      </w:pPr>
      <w:r>
        <w:rPr>
          <w:b/>
          <w:iCs/>
          <w:noProof/>
          <w:lang w:eastAsia="en-GB"/>
        </w:rPr>
        <mc:AlternateContent>
          <mc:Choice Requires="wps">
            <w:drawing>
              <wp:anchor distT="0" distB="0" distL="114300" distR="114300" simplePos="0" relativeHeight="251659264" behindDoc="0" locked="0" layoutInCell="1" allowOverlap="1" wp14:anchorId="3C411385" wp14:editId="2796BBAC">
                <wp:simplePos x="0" y="0"/>
                <wp:positionH relativeFrom="column">
                  <wp:posOffset>153063</wp:posOffset>
                </wp:positionH>
                <wp:positionV relativeFrom="paragraph">
                  <wp:posOffset>-365760</wp:posOffset>
                </wp:positionV>
                <wp:extent cx="5335325" cy="667578"/>
                <wp:effectExtent l="0" t="0" r="17780" b="18415"/>
                <wp:wrapNone/>
                <wp:docPr id="8" name="Text Box 8"/>
                <wp:cNvGraphicFramePr/>
                <a:graphic xmlns:a="http://schemas.openxmlformats.org/drawingml/2006/main">
                  <a:graphicData uri="http://schemas.microsoft.com/office/word/2010/wordprocessingShape">
                    <wps:wsp>
                      <wps:cNvSpPr txBox="1"/>
                      <wps:spPr>
                        <a:xfrm>
                          <a:off x="0" y="0"/>
                          <a:ext cx="5335325" cy="667578"/>
                        </a:xfrm>
                        <a:prstGeom prst="rect">
                          <a:avLst/>
                        </a:prstGeom>
                        <a:solidFill>
                          <a:srgbClr val="33ABF5">
                            <a:alpha val="44706"/>
                          </a:srgb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42AA9" w:rsidRDefault="00B42AA9" w:rsidP="00B42AA9">
                            <w:pPr>
                              <w:jc w:val="center"/>
                              <w:rPr>
                                <w:rStyle w:val="Emphasis"/>
                                <w:b/>
                                <w:i w:val="0"/>
                              </w:rPr>
                            </w:pPr>
                            <w:r>
                              <w:rPr>
                                <w:rStyle w:val="Emphasis"/>
                                <w:b/>
                                <w:i w:val="0"/>
                              </w:rPr>
                              <w:t xml:space="preserve">Guidelines for </w:t>
                            </w:r>
                          </w:p>
                          <w:p w:rsidR="00B42AA9" w:rsidRDefault="00B42AA9" w:rsidP="00B42AA9">
                            <w:pPr>
                              <w:jc w:val="center"/>
                              <w:rPr>
                                <w:rStyle w:val="Emphasis"/>
                                <w:b/>
                                <w:i w:val="0"/>
                              </w:rPr>
                            </w:pPr>
                            <w:r>
                              <w:rPr>
                                <w:rStyle w:val="Emphasis"/>
                                <w:b/>
                                <w:i w:val="0"/>
                              </w:rPr>
                              <w:t xml:space="preserve">Implementation of Common System Compensation Package </w:t>
                            </w:r>
                          </w:p>
                          <w:p w:rsidR="00B42AA9" w:rsidRPr="00F935D4" w:rsidRDefault="00B42AA9" w:rsidP="00B42AA9">
                            <w:pPr>
                              <w:jc w:val="center"/>
                              <w:rPr>
                                <w:rStyle w:val="Emphasis"/>
                                <w:b/>
                                <w:i w:val="0"/>
                              </w:rPr>
                            </w:pPr>
                            <w:r>
                              <w:rPr>
                                <w:rStyle w:val="Emphasis"/>
                                <w:b/>
                                <w:i w:val="0"/>
                              </w:rPr>
                              <w:t>in the United Nations Secretariat</w:t>
                            </w:r>
                          </w:p>
                          <w:p w:rsidR="00B42AA9" w:rsidRDefault="00B42AA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12.05pt;margin-top:-28.8pt;width:420.1pt;height:5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" fillcolor="#33abf5" strokeweight=".5pt">
                <v:fill opacity="29298f"/>
                <v:textbox>
                  <w:txbxContent>
                    <w:p w:rsidR="00B42AA9" w:rsidRDefault="00B42AA9" w:rsidP="00B42AA9">
                      <w:pPr>
                        <w:jc w:val="center"/>
                        <w:rPr>
                          <w:rStyle w:val="Emphasis"/>
                          <w:b/>
                          <w:i w:val="0"/>
                        </w:rPr>
                      </w:pPr>
                      <w:r>
                        <w:rPr>
                          <w:rStyle w:val="Emphasis"/>
                          <w:b/>
                          <w:i w:val="0"/>
                        </w:rPr>
                        <w:t xml:space="preserve">Guidelines for </w:t>
                      </w:r>
                    </w:p>
                    <w:p w:rsidR="00B42AA9" w:rsidRDefault="00B42AA9" w:rsidP="00B42AA9">
                      <w:pPr>
                        <w:jc w:val="center"/>
                        <w:rPr>
                          <w:rStyle w:val="Emphasis"/>
                          <w:b/>
                          <w:i w:val="0"/>
                        </w:rPr>
                      </w:pPr>
                      <w:r>
                        <w:rPr>
                          <w:rStyle w:val="Emphasis"/>
                          <w:b/>
                          <w:i w:val="0"/>
                        </w:rPr>
                        <w:t xml:space="preserve">Implementation of Common System Compensation Package </w:t>
                      </w:r>
                    </w:p>
                    <w:p w:rsidR="00B42AA9" w:rsidRPr="00F935D4" w:rsidRDefault="00B42AA9" w:rsidP="00B42AA9">
                      <w:pPr>
                        <w:jc w:val="center"/>
                        <w:rPr>
                          <w:rStyle w:val="Emphasis"/>
                          <w:b/>
                          <w:i w:val="0"/>
                        </w:rPr>
                      </w:pPr>
                      <w:r>
                        <w:rPr>
                          <w:rStyle w:val="Emphasis"/>
                          <w:b/>
                          <w:i w:val="0"/>
                        </w:rPr>
                        <w:t>in the United Nations Secretariat</w:t>
                      </w:r>
                    </w:p>
                    <w:p w:rsidR="00B42AA9" w:rsidRDefault="00B42AA9"/>
                  </w:txbxContent>
                </v:textbox>
              </v:shape>
            </w:pict>
          </mc:Fallback>
        </mc:AlternateContent>
      </w:r>
    </w:p>
    <w:p w:rsidR="00B42AA9" w:rsidRDefault="00B42AA9" w:rsidP="00F935D4">
      <w:pPr>
        <w:jc w:val="center"/>
        <w:rPr>
          <w:rStyle w:val="Emphasis"/>
          <w:b/>
          <w:i w:val="0"/>
        </w:rPr>
      </w:pPr>
    </w:p>
    <w:p w:rsidR="00F935D4" w:rsidRDefault="00F935D4" w:rsidP="00F935D4">
      <w:pPr>
        <w:rPr>
          <w:rStyle w:val="Emphasis"/>
          <w:i w:val="0"/>
        </w:rPr>
      </w:pPr>
    </w:p>
    <w:p w:rsidR="00EF3E1F" w:rsidRPr="0016598F" w:rsidRDefault="00EF3E1F" w:rsidP="0092400F">
      <w:pPr>
        <w:pStyle w:val="ListParagraph"/>
        <w:numPr>
          <w:ilvl w:val="0"/>
          <w:numId w:val="18"/>
        </w:numPr>
        <w:ind w:hanging="810"/>
        <w:rPr>
          <w:rStyle w:val="Emphasis"/>
          <w:b/>
          <w:i w:val="0"/>
        </w:rPr>
      </w:pPr>
      <w:r w:rsidRPr="0016598F">
        <w:rPr>
          <w:rStyle w:val="Emphasis"/>
          <w:b/>
          <w:i w:val="0"/>
        </w:rPr>
        <w:t>Introduction</w:t>
      </w:r>
    </w:p>
    <w:p w:rsidR="00EF3E1F" w:rsidRPr="00F935D4" w:rsidRDefault="00EF3E1F" w:rsidP="00F935D4">
      <w:pPr>
        <w:rPr>
          <w:rStyle w:val="Emphasis"/>
          <w:i w:val="0"/>
        </w:rPr>
      </w:pPr>
    </w:p>
    <w:p w:rsidR="00AC5B48" w:rsidRPr="00F935D4" w:rsidRDefault="00AC5B48" w:rsidP="007F71BC">
      <w:pPr>
        <w:pStyle w:val="ListParagraph"/>
        <w:numPr>
          <w:ilvl w:val="0"/>
          <w:numId w:val="19"/>
        </w:numPr>
        <w:tabs>
          <w:tab w:val="left" w:pos="720"/>
        </w:tabs>
        <w:ind w:firstLine="0"/>
        <w:rPr>
          <w:rStyle w:val="Emphasis"/>
          <w:i w:val="0"/>
        </w:rPr>
      </w:pPr>
      <w:r w:rsidRPr="00F935D4">
        <w:rPr>
          <w:rStyle w:val="Emphasis"/>
          <w:i w:val="0"/>
        </w:rPr>
        <w:t>In its resolution 70/244, the General Assembly approved the recommendations of the International Civil Service Commission</w:t>
      </w:r>
      <w:r w:rsidR="000743D9" w:rsidRPr="00F935D4">
        <w:rPr>
          <w:rStyle w:val="Emphasis"/>
          <w:i w:val="0"/>
        </w:rPr>
        <w:t xml:space="preserve"> (ICSC)</w:t>
      </w:r>
      <w:r w:rsidRPr="00F935D4">
        <w:rPr>
          <w:rStyle w:val="Emphasis"/>
          <w:i w:val="0"/>
        </w:rPr>
        <w:t xml:space="preserve"> regarding changes to the compensation package for internationally recruited staff members serving in the U</w:t>
      </w:r>
      <w:r w:rsidR="000743D9" w:rsidRPr="00F935D4">
        <w:rPr>
          <w:rStyle w:val="Emphasis"/>
          <w:i w:val="0"/>
        </w:rPr>
        <w:t xml:space="preserve">nited </w:t>
      </w:r>
      <w:r w:rsidRPr="00F935D4">
        <w:rPr>
          <w:rStyle w:val="Emphasis"/>
          <w:i w:val="0"/>
        </w:rPr>
        <w:t>N</w:t>
      </w:r>
      <w:r w:rsidR="000743D9" w:rsidRPr="00F935D4">
        <w:rPr>
          <w:rStyle w:val="Emphasis"/>
          <w:i w:val="0"/>
        </w:rPr>
        <w:t>ations</w:t>
      </w:r>
      <w:r w:rsidRPr="00F935D4">
        <w:rPr>
          <w:rStyle w:val="Emphasis"/>
          <w:i w:val="0"/>
        </w:rPr>
        <w:t xml:space="preserve"> </w:t>
      </w:r>
      <w:r w:rsidRPr="00456C73">
        <w:rPr>
          <w:rStyle w:val="Emphasis"/>
          <w:i w:val="0"/>
        </w:rPr>
        <w:t>common</w:t>
      </w:r>
      <w:r w:rsidRPr="00F935D4">
        <w:rPr>
          <w:rStyle w:val="Emphasis"/>
          <w:i w:val="0"/>
        </w:rPr>
        <w:t xml:space="preserve"> system.  </w:t>
      </w:r>
    </w:p>
    <w:p w:rsidR="00AC5B48" w:rsidRPr="00F935D4" w:rsidRDefault="00AC5B48" w:rsidP="007F71BC">
      <w:pPr>
        <w:tabs>
          <w:tab w:val="left" w:pos="720"/>
        </w:tabs>
        <w:ind w:hanging="360"/>
        <w:rPr>
          <w:rStyle w:val="Emphasis"/>
          <w:i w:val="0"/>
        </w:rPr>
      </w:pPr>
    </w:p>
    <w:p w:rsidR="004B247C" w:rsidRPr="00F935D4" w:rsidRDefault="00AC5B48" w:rsidP="007F71BC">
      <w:pPr>
        <w:pStyle w:val="ListParagraph"/>
        <w:numPr>
          <w:ilvl w:val="0"/>
          <w:numId w:val="19"/>
        </w:numPr>
        <w:tabs>
          <w:tab w:val="left" w:pos="720"/>
        </w:tabs>
        <w:ind w:firstLine="0"/>
        <w:rPr>
          <w:rStyle w:val="Emphasis"/>
          <w:i w:val="0"/>
        </w:rPr>
      </w:pPr>
      <w:r w:rsidRPr="00F935D4">
        <w:rPr>
          <w:rStyle w:val="Emphasis"/>
          <w:i w:val="0"/>
        </w:rPr>
        <w:t>The changes affect staff members in the professional and higher categories</w:t>
      </w:r>
      <w:r w:rsidR="00F2426B" w:rsidRPr="00F935D4">
        <w:rPr>
          <w:rStyle w:val="Emphasis"/>
          <w:i w:val="0"/>
        </w:rPr>
        <w:t xml:space="preserve">, </w:t>
      </w:r>
      <w:r w:rsidRPr="00F935D4">
        <w:rPr>
          <w:rStyle w:val="Emphasis"/>
          <w:i w:val="0"/>
        </w:rPr>
        <w:t>field service category</w:t>
      </w:r>
      <w:r w:rsidR="00F2426B" w:rsidRPr="00F935D4">
        <w:rPr>
          <w:rStyle w:val="Emphasis"/>
          <w:i w:val="0"/>
        </w:rPr>
        <w:t>, and International General Service staff</w:t>
      </w:r>
      <w:r w:rsidRPr="00F935D4">
        <w:rPr>
          <w:rStyle w:val="Emphasis"/>
          <w:i w:val="0"/>
        </w:rPr>
        <w:t xml:space="preserve">.  Some of the main changes in the new compensation package </w:t>
      </w:r>
      <w:r w:rsidR="002257AB" w:rsidRPr="00F935D4">
        <w:rPr>
          <w:rStyle w:val="Emphasis"/>
          <w:i w:val="0"/>
        </w:rPr>
        <w:t>are as follows:</w:t>
      </w:r>
    </w:p>
    <w:p w:rsidR="004B247C" w:rsidRPr="00F935D4" w:rsidRDefault="004B247C" w:rsidP="00F935D4">
      <w:pPr>
        <w:rPr>
          <w:rStyle w:val="Emphasis"/>
          <w:i w:val="0"/>
        </w:rPr>
      </w:pPr>
    </w:p>
    <w:p w:rsidR="004B247C" w:rsidRDefault="00AC5B48" w:rsidP="00F935D4">
      <w:pPr>
        <w:pStyle w:val="ListParagraph"/>
        <w:numPr>
          <w:ilvl w:val="0"/>
          <w:numId w:val="20"/>
        </w:numPr>
        <w:rPr>
          <w:rStyle w:val="Emphasis"/>
          <w:i w:val="0"/>
        </w:rPr>
      </w:pPr>
      <w:r w:rsidRPr="00F935D4">
        <w:rPr>
          <w:rStyle w:val="Emphasis"/>
          <w:i w:val="0"/>
        </w:rPr>
        <w:t xml:space="preserve">a unified salary scale without reference to </w:t>
      </w:r>
      <w:r w:rsidR="00FC6D1C" w:rsidRPr="00F935D4">
        <w:rPr>
          <w:rStyle w:val="Emphasis"/>
          <w:i w:val="0"/>
        </w:rPr>
        <w:t xml:space="preserve">dependency </w:t>
      </w:r>
      <w:r w:rsidRPr="00F935D4">
        <w:rPr>
          <w:rStyle w:val="Emphasis"/>
          <w:i w:val="0"/>
        </w:rPr>
        <w:t>status</w:t>
      </w:r>
      <w:r w:rsidR="002257AB" w:rsidRPr="00F935D4">
        <w:rPr>
          <w:rStyle w:val="Emphasis"/>
          <w:i w:val="0"/>
        </w:rPr>
        <w:t>;</w:t>
      </w:r>
      <w:r w:rsidRPr="00F935D4">
        <w:rPr>
          <w:rStyle w:val="Emphasis"/>
          <w:i w:val="0"/>
        </w:rPr>
        <w:t xml:space="preserve"> </w:t>
      </w:r>
    </w:p>
    <w:p w:rsidR="004B247C" w:rsidRPr="00F935D4" w:rsidRDefault="00AC5B48" w:rsidP="00F935D4">
      <w:pPr>
        <w:pStyle w:val="ListParagraph"/>
        <w:numPr>
          <w:ilvl w:val="0"/>
          <w:numId w:val="20"/>
        </w:numPr>
        <w:rPr>
          <w:rStyle w:val="Emphasis"/>
          <w:i w:val="0"/>
        </w:rPr>
      </w:pPr>
      <w:r w:rsidRPr="00F935D4">
        <w:rPr>
          <w:rStyle w:val="Emphasis"/>
          <w:i w:val="0"/>
        </w:rPr>
        <w:t>introduction of a spouse allowance</w:t>
      </w:r>
      <w:r w:rsidR="00F2426B" w:rsidRPr="00F935D4">
        <w:rPr>
          <w:rStyle w:val="Emphasis"/>
          <w:i w:val="0"/>
        </w:rPr>
        <w:t xml:space="preserve"> for dependent spouses</w:t>
      </w:r>
      <w:r w:rsidR="002257AB" w:rsidRPr="00F935D4">
        <w:rPr>
          <w:rStyle w:val="Emphasis"/>
          <w:i w:val="0"/>
        </w:rPr>
        <w:t xml:space="preserve">; </w:t>
      </w:r>
    </w:p>
    <w:p w:rsidR="004B247C" w:rsidRPr="00F935D4" w:rsidRDefault="002257AB" w:rsidP="00F935D4">
      <w:pPr>
        <w:pStyle w:val="ListParagraph"/>
        <w:numPr>
          <w:ilvl w:val="0"/>
          <w:numId w:val="20"/>
        </w:numPr>
        <w:rPr>
          <w:rStyle w:val="Emphasis"/>
          <w:i w:val="0"/>
        </w:rPr>
      </w:pPr>
      <w:r w:rsidRPr="00F935D4">
        <w:rPr>
          <w:rStyle w:val="Emphasis"/>
          <w:i w:val="0"/>
        </w:rPr>
        <w:t xml:space="preserve">introduction of </w:t>
      </w:r>
      <w:r w:rsidR="00AC5B48" w:rsidRPr="00F935D4">
        <w:rPr>
          <w:rStyle w:val="Emphasis"/>
          <w:i w:val="0"/>
        </w:rPr>
        <w:t>a single parent allowance</w:t>
      </w:r>
      <w:r w:rsidRPr="00F935D4">
        <w:rPr>
          <w:rStyle w:val="Emphasis"/>
          <w:i w:val="0"/>
        </w:rPr>
        <w:t>;</w:t>
      </w:r>
      <w:r w:rsidR="00AC5B48" w:rsidRPr="00F935D4">
        <w:rPr>
          <w:rStyle w:val="Emphasis"/>
          <w:i w:val="0"/>
        </w:rPr>
        <w:t xml:space="preserve"> </w:t>
      </w:r>
    </w:p>
    <w:p w:rsidR="004B247C" w:rsidRPr="00F935D4" w:rsidRDefault="00AC5B48" w:rsidP="00F935D4">
      <w:pPr>
        <w:pStyle w:val="ListParagraph"/>
        <w:numPr>
          <w:ilvl w:val="0"/>
          <w:numId w:val="20"/>
        </w:numPr>
        <w:rPr>
          <w:rStyle w:val="Emphasis"/>
          <w:i w:val="0"/>
        </w:rPr>
      </w:pPr>
      <w:r w:rsidRPr="00F935D4">
        <w:rPr>
          <w:rStyle w:val="Emphasis"/>
          <w:i w:val="0"/>
        </w:rPr>
        <w:t>changes in granting within grade increment</w:t>
      </w:r>
      <w:r w:rsidR="002257AB" w:rsidRPr="00F935D4">
        <w:rPr>
          <w:rStyle w:val="Emphasis"/>
          <w:i w:val="0"/>
        </w:rPr>
        <w:t>;</w:t>
      </w:r>
      <w:r w:rsidRPr="00F935D4">
        <w:rPr>
          <w:rStyle w:val="Emphasis"/>
          <w:i w:val="0"/>
        </w:rPr>
        <w:t xml:space="preserve"> </w:t>
      </w:r>
    </w:p>
    <w:p w:rsidR="00D353BC" w:rsidRPr="00F935D4" w:rsidRDefault="00D353BC" w:rsidP="00F935D4">
      <w:pPr>
        <w:pStyle w:val="ListParagraph"/>
        <w:numPr>
          <w:ilvl w:val="0"/>
          <w:numId w:val="20"/>
        </w:numPr>
        <w:rPr>
          <w:rStyle w:val="Emphasis"/>
          <w:i w:val="0"/>
        </w:rPr>
      </w:pPr>
      <w:r w:rsidRPr="00F935D4">
        <w:rPr>
          <w:rStyle w:val="Emphasis"/>
          <w:i w:val="0"/>
        </w:rPr>
        <w:t>discontinuation of the language incentive;</w:t>
      </w:r>
    </w:p>
    <w:p w:rsidR="004B247C" w:rsidRPr="00F935D4" w:rsidRDefault="00042B6F" w:rsidP="00F935D4">
      <w:pPr>
        <w:pStyle w:val="ListParagraph"/>
        <w:numPr>
          <w:ilvl w:val="0"/>
          <w:numId w:val="20"/>
        </w:numPr>
        <w:rPr>
          <w:rStyle w:val="Emphasis"/>
          <w:i w:val="0"/>
        </w:rPr>
      </w:pPr>
      <w:r w:rsidRPr="00F935D4">
        <w:rPr>
          <w:rStyle w:val="Emphasis"/>
          <w:i w:val="0"/>
        </w:rPr>
        <w:t xml:space="preserve">a revamped and streamlined education grant and </w:t>
      </w:r>
      <w:r w:rsidR="00F2426B" w:rsidRPr="00F935D4">
        <w:rPr>
          <w:rStyle w:val="Emphasis"/>
          <w:i w:val="0"/>
        </w:rPr>
        <w:t xml:space="preserve">adjustments to the </w:t>
      </w:r>
      <w:r w:rsidRPr="00F935D4">
        <w:rPr>
          <w:rStyle w:val="Emphasis"/>
          <w:i w:val="0"/>
        </w:rPr>
        <w:t>special education grant</w:t>
      </w:r>
      <w:r w:rsidR="00F441C7" w:rsidRPr="00F935D4">
        <w:rPr>
          <w:rStyle w:val="Emphasis"/>
          <w:i w:val="0"/>
        </w:rPr>
        <w:t xml:space="preserve"> entitlement</w:t>
      </w:r>
      <w:r w:rsidRPr="00F935D4">
        <w:rPr>
          <w:rStyle w:val="Emphasis"/>
          <w:i w:val="0"/>
        </w:rPr>
        <w:t xml:space="preserve">; </w:t>
      </w:r>
    </w:p>
    <w:p w:rsidR="004B247C" w:rsidRPr="00F935D4" w:rsidRDefault="00AC5B48" w:rsidP="00F935D4">
      <w:pPr>
        <w:pStyle w:val="ListParagraph"/>
        <w:numPr>
          <w:ilvl w:val="0"/>
          <w:numId w:val="20"/>
        </w:numPr>
        <w:rPr>
          <w:rStyle w:val="Emphasis"/>
          <w:i w:val="0"/>
        </w:rPr>
      </w:pPr>
      <w:r w:rsidRPr="00F935D4">
        <w:rPr>
          <w:rStyle w:val="Emphasis"/>
          <w:i w:val="0"/>
        </w:rPr>
        <w:t xml:space="preserve">a </w:t>
      </w:r>
      <w:r w:rsidR="004C4EAA" w:rsidRPr="00F935D4">
        <w:rPr>
          <w:rStyle w:val="Emphasis"/>
          <w:i w:val="0"/>
        </w:rPr>
        <w:t xml:space="preserve">new </w:t>
      </w:r>
      <w:r w:rsidRPr="00F935D4">
        <w:rPr>
          <w:rStyle w:val="Emphasis"/>
          <w:i w:val="0"/>
        </w:rPr>
        <w:t>mobility incentive</w:t>
      </w:r>
      <w:r w:rsidR="002257AB" w:rsidRPr="00F935D4">
        <w:rPr>
          <w:rStyle w:val="Emphasis"/>
          <w:i w:val="0"/>
        </w:rPr>
        <w:t>;</w:t>
      </w:r>
      <w:r w:rsidRPr="00F935D4">
        <w:rPr>
          <w:rStyle w:val="Emphasis"/>
          <w:i w:val="0"/>
        </w:rPr>
        <w:t xml:space="preserve"> </w:t>
      </w:r>
    </w:p>
    <w:p w:rsidR="004B247C" w:rsidRPr="00F935D4" w:rsidRDefault="00AC5B48" w:rsidP="00F935D4">
      <w:pPr>
        <w:pStyle w:val="ListParagraph"/>
        <w:numPr>
          <w:ilvl w:val="0"/>
          <w:numId w:val="20"/>
        </w:numPr>
        <w:rPr>
          <w:rStyle w:val="Emphasis"/>
          <w:i w:val="0"/>
        </w:rPr>
      </w:pPr>
      <w:r w:rsidRPr="00F935D4">
        <w:rPr>
          <w:rStyle w:val="Emphasis"/>
          <w:i w:val="0"/>
        </w:rPr>
        <w:t xml:space="preserve">changes to the </w:t>
      </w:r>
      <w:r w:rsidR="002257AB" w:rsidRPr="00F935D4">
        <w:rPr>
          <w:rStyle w:val="Emphasis"/>
          <w:i w:val="0"/>
        </w:rPr>
        <w:t xml:space="preserve">amounts </w:t>
      </w:r>
      <w:r w:rsidR="004B247C" w:rsidRPr="00F935D4">
        <w:rPr>
          <w:rStyle w:val="Emphasis"/>
          <w:i w:val="0"/>
        </w:rPr>
        <w:t xml:space="preserve">and structure </w:t>
      </w:r>
      <w:r w:rsidR="002257AB" w:rsidRPr="00F935D4">
        <w:rPr>
          <w:rStyle w:val="Emphasis"/>
          <w:i w:val="0"/>
        </w:rPr>
        <w:t xml:space="preserve">of </w:t>
      </w:r>
      <w:r w:rsidR="00042B6F" w:rsidRPr="00F935D4">
        <w:rPr>
          <w:rStyle w:val="Emphasis"/>
          <w:i w:val="0"/>
        </w:rPr>
        <w:t xml:space="preserve">the </w:t>
      </w:r>
      <w:r w:rsidRPr="00F935D4">
        <w:rPr>
          <w:rStyle w:val="Emphasis"/>
          <w:i w:val="0"/>
        </w:rPr>
        <w:t xml:space="preserve">hardship </w:t>
      </w:r>
      <w:r w:rsidR="002257AB" w:rsidRPr="00F935D4">
        <w:rPr>
          <w:rStyle w:val="Emphasis"/>
          <w:i w:val="0"/>
        </w:rPr>
        <w:t>allowance;</w:t>
      </w:r>
      <w:r w:rsidRPr="00F935D4">
        <w:rPr>
          <w:rStyle w:val="Emphasis"/>
          <w:i w:val="0"/>
        </w:rPr>
        <w:t xml:space="preserve"> </w:t>
      </w:r>
    </w:p>
    <w:p w:rsidR="004B247C" w:rsidRPr="00F935D4" w:rsidRDefault="00AC5B48" w:rsidP="00F935D4">
      <w:pPr>
        <w:pStyle w:val="ListParagraph"/>
        <w:numPr>
          <w:ilvl w:val="0"/>
          <w:numId w:val="20"/>
        </w:numPr>
        <w:rPr>
          <w:rStyle w:val="Emphasis"/>
          <w:i w:val="0"/>
        </w:rPr>
      </w:pPr>
      <w:r w:rsidRPr="00F935D4">
        <w:rPr>
          <w:rStyle w:val="Emphasis"/>
          <w:i w:val="0"/>
        </w:rPr>
        <w:t xml:space="preserve">revision </w:t>
      </w:r>
      <w:r w:rsidR="005340A7" w:rsidRPr="00F935D4">
        <w:rPr>
          <w:rStyle w:val="Emphasis"/>
          <w:i w:val="0"/>
        </w:rPr>
        <w:t>of the additional non-family hardship allowance to a non-family service allowance</w:t>
      </w:r>
      <w:r w:rsidR="002257AB" w:rsidRPr="00F935D4">
        <w:rPr>
          <w:rStyle w:val="Emphasis"/>
          <w:i w:val="0"/>
        </w:rPr>
        <w:t>;</w:t>
      </w:r>
      <w:r w:rsidRPr="00F935D4">
        <w:rPr>
          <w:rStyle w:val="Emphasis"/>
          <w:i w:val="0"/>
        </w:rPr>
        <w:t xml:space="preserve"> </w:t>
      </w:r>
    </w:p>
    <w:p w:rsidR="004B247C" w:rsidRPr="00F935D4" w:rsidRDefault="000C7985" w:rsidP="00F935D4">
      <w:pPr>
        <w:pStyle w:val="ListParagraph"/>
        <w:numPr>
          <w:ilvl w:val="0"/>
          <w:numId w:val="20"/>
        </w:numPr>
        <w:rPr>
          <w:rStyle w:val="Emphasis"/>
          <w:i w:val="0"/>
        </w:rPr>
      </w:pPr>
      <w:r w:rsidRPr="00F935D4">
        <w:rPr>
          <w:rStyle w:val="Emphasis"/>
          <w:i w:val="0"/>
        </w:rPr>
        <w:t>discontinuation of the non-removal element of the mobility and hardship allowance</w:t>
      </w:r>
      <w:r w:rsidR="002257AB" w:rsidRPr="00F935D4">
        <w:rPr>
          <w:rStyle w:val="Emphasis"/>
          <w:i w:val="0"/>
        </w:rPr>
        <w:t>;</w:t>
      </w:r>
      <w:r w:rsidRPr="00F935D4">
        <w:rPr>
          <w:rStyle w:val="Emphasis"/>
          <w:i w:val="0"/>
        </w:rPr>
        <w:t xml:space="preserve"> </w:t>
      </w:r>
    </w:p>
    <w:p w:rsidR="004B247C" w:rsidRPr="00F935D4" w:rsidRDefault="00AC5B48" w:rsidP="00F935D4">
      <w:pPr>
        <w:pStyle w:val="ListParagraph"/>
        <w:numPr>
          <w:ilvl w:val="0"/>
          <w:numId w:val="20"/>
        </w:numPr>
        <w:rPr>
          <w:rStyle w:val="Emphasis"/>
          <w:i w:val="0"/>
        </w:rPr>
      </w:pPr>
      <w:r w:rsidRPr="00F935D4">
        <w:rPr>
          <w:rStyle w:val="Emphasis"/>
          <w:i w:val="0"/>
        </w:rPr>
        <w:t>changes in eligibility for repatriation grant</w:t>
      </w:r>
      <w:r w:rsidR="002257AB" w:rsidRPr="00F935D4">
        <w:rPr>
          <w:rStyle w:val="Emphasis"/>
          <w:i w:val="0"/>
        </w:rPr>
        <w:t>;</w:t>
      </w:r>
      <w:r w:rsidRPr="00F935D4">
        <w:rPr>
          <w:rStyle w:val="Emphasis"/>
          <w:i w:val="0"/>
        </w:rPr>
        <w:t xml:space="preserve"> </w:t>
      </w:r>
    </w:p>
    <w:p w:rsidR="004B247C" w:rsidRPr="00F935D4" w:rsidRDefault="00AC5B48" w:rsidP="00F935D4">
      <w:pPr>
        <w:pStyle w:val="ListParagraph"/>
        <w:numPr>
          <w:ilvl w:val="0"/>
          <w:numId w:val="20"/>
        </w:numPr>
        <w:rPr>
          <w:rStyle w:val="Emphasis"/>
          <w:i w:val="0"/>
        </w:rPr>
      </w:pPr>
      <w:r w:rsidRPr="00F935D4">
        <w:rPr>
          <w:rStyle w:val="Emphasis"/>
          <w:i w:val="0"/>
        </w:rPr>
        <w:t xml:space="preserve">discontinuation of accelerated home </w:t>
      </w:r>
      <w:r w:rsidR="00042B6F" w:rsidRPr="00F935D4">
        <w:rPr>
          <w:rStyle w:val="Emphasis"/>
          <w:i w:val="0"/>
        </w:rPr>
        <w:t xml:space="preserve">leave </w:t>
      </w:r>
      <w:r w:rsidRPr="00F935D4">
        <w:rPr>
          <w:rStyle w:val="Emphasis"/>
          <w:i w:val="0"/>
        </w:rPr>
        <w:t xml:space="preserve">except in </w:t>
      </w:r>
      <w:r w:rsidR="005340A7" w:rsidRPr="00F935D4">
        <w:rPr>
          <w:rStyle w:val="Emphasis"/>
          <w:i w:val="0"/>
        </w:rPr>
        <w:t>D and E duty stations not falling within the rest and recuperation framework</w:t>
      </w:r>
      <w:r w:rsidR="002257AB" w:rsidRPr="00F935D4">
        <w:rPr>
          <w:rStyle w:val="Emphasis"/>
          <w:i w:val="0"/>
        </w:rPr>
        <w:t>;</w:t>
      </w:r>
      <w:r w:rsidR="005340A7" w:rsidRPr="00F935D4">
        <w:rPr>
          <w:rStyle w:val="Emphasis"/>
          <w:i w:val="0"/>
        </w:rPr>
        <w:t xml:space="preserve"> </w:t>
      </w:r>
    </w:p>
    <w:p w:rsidR="004B247C" w:rsidRPr="00F935D4" w:rsidRDefault="00AC5B48" w:rsidP="00F935D4">
      <w:pPr>
        <w:pStyle w:val="ListParagraph"/>
        <w:numPr>
          <w:ilvl w:val="0"/>
          <w:numId w:val="20"/>
        </w:numPr>
        <w:rPr>
          <w:rStyle w:val="Emphasis"/>
          <w:i w:val="0"/>
        </w:rPr>
      </w:pPr>
      <w:r w:rsidRPr="00F935D4">
        <w:rPr>
          <w:rStyle w:val="Emphasis"/>
          <w:i w:val="0"/>
        </w:rPr>
        <w:t xml:space="preserve">a revised </w:t>
      </w:r>
      <w:r w:rsidR="00042B6F" w:rsidRPr="00F935D4">
        <w:rPr>
          <w:rStyle w:val="Emphasis"/>
          <w:i w:val="0"/>
        </w:rPr>
        <w:t xml:space="preserve">relocation </w:t>
      </w:r>
      <w:r w:rsidRPr="00F935D4">
        <w:rPr>
          <w:rStyle w:val="Emphasis"/>
          <w:i w:val="0"/>
        </w:rPr>
        <w:t>package</w:t>
      </w:r>
      <w:r w:rsidR="00042B6F" w:rsidRPr="00F935D4">
        <w:rPr>
          <w:rStyle w:val="Emphasis"/>
          <w:i w:val="0"/>
        </w:rPr>
        <w:t xml:space="preserve"> that includes </w:t>
      </w:r>
      <w:r w:rsidR="00B953E4" w:rsidRPr="00F935D4">
        <w:rPr>
          <w:rStyle w:val="Emphasis"/>
          <w:i w:val="0"/>
        </w:rPr>
        <w:t xml:space="preserve">relocation travel, </w:t>
      </w:r>
      <w:r w:rsidR="00042B6F" w:rsidRPr="00F935D4">
        <w:rPr>
          <w:rStyle w:val="Emphasis"/>
          <w:i w:val="0"/>
        </w:rPr>
        <w:t>settling-in grant (formerly assignment grant) and relocation shipment of household goods</w:t>
      </w:r>
      <w:r w:rsidRPr="00F935D4">
        <w:rPr>
          <w:rStyle w:val="Emphasis"/>
          <w:i w:val="0"/>
        </w:rPr>
        <w:t xml:space="preserve">.  </w:t>
      </w:r>
    </w:p>
    <w:p w:rsidR="004B247C" w:rsidRPr="00F935D4" w:rsidRDefault="004B247C" w:rsidP="00F935D4">
      <w:pPr>
        <w:rPr>
          <w:rStyle w:val="Emphasis"/>
          <w:i w:val="0"/>
        </w:rPr>
      </w:pPr>
    </w:p>
    <w:p w:rsidR="00AC5B48" w:rsidRPr="00F935D4" w:rsidRDefault="000C7985" w:rsidP="0092400F">
      <w:pPr>
        <w:pStyle w:val="ListParagraph"/>
        <w:numPr>
          <w:ilvl w:val="0"/>
          <w:numId w:val="19"/>
        </w:numPr>
        <w:tabs>
          <w:tab w:val="left" w:pos="720"/>
        </w:tabs>
        <w:ind w:firstLine="0"/>
        <w:rPr>
          <w:rStyle w:val="Emphasis"/>
          <w:i w:val="0"/>
        </w:rPr>
      </w:pPr>
      <w:r w:rsidRPr="00F935D4">
        <w:rPr>
          <w:rStyle w:val="Emphasis"/>
          <w:i w:val="0"/>
        </w:rPr>
        <w:t>In addition</w:t>
      </w:r>
      <w:r w:rsidR="005340A7" w:rsidRPr="00F935D4">
        <w:rPr>
          <w:rStyle w:val="Emphasis"/>
          <w:i w:val="0"/>
        </w:rPr>
        <w:t xml:space="preserve"> and</w:t>
      </w:r>
      <w:r w:rsidRPr="00F935D4">
        <w:rPr>
          <w:rStyle w:val="Emphasis"/>
          <w:i w:val="0"/>
        </w:rPr>
        <w:t xml:space="preserve"> in recognition of the acquired rights for serving staff with respect to certain </w:t>
      </w:r>
      <w:r w:rsidR="00042B6F" w:rsidRPr="00F935D4">
        <w:rPr>
          <w:rStyle w:val="Emphasis"/>
          <w:i w:val="0"/>
        </w:rPr>
        <w:t>allowances</w:t>
      </w:r>
      <w:r w:rsidRPr="00F935D4">
        <w:rPr>
          <w:rStyle w:val="Emphasis"/>
          <w:i w:val="0"/>
        </w:rPr>
        <w:t xml:space="preserve">, the General Assembly approved specific transitional arrangements where applicable.  </w:t>
      </w:r>
      <w:r w:rsidR="00AC5B48" w:rsidRPr="00F935D4">
        <w:rPr>
          <w:rStyle w:val="Emphasis"/>
          <w:i w:val="0"/>
        </w:rPr>
        <w:t xml:space="preserve">Other benefits and entitlements such as annual/sick leave, family visit travel, rest and recuperation </w:t>
      </w:r>
      <w:r w:rsidR="005340A7" w:rsidRPr="00F935D4">
        <w:rPr>
          <w:rStyle w:val="Emphasis"/>
          <w:i w:val="0"/>
        </w:rPr>
        <w:t xml:space="preserve">framework </w:t>
      </w:r>
      <w:r w:rsidR="00AC5B48" w:rsidRPr="00F935D4">
        <w:rPr>
          <w:rStyle w:val="Emphasis"/>
          <w:i w:val="0"/>
        </w:rPr>
        <w:t xml:space="preserve">and danger pay remain unchanged.  </w:t>
      </w:r>
    </w:p>
    <w:p w:rsidR="00AC5B48" w:rsidRPr="00F935D4" w:rsidRDefault="00AC5B48" w:rsidP="00F935D4">
      <w:pPr>
        <w:rPr>
          <w:rStyle w:val="Emphasis"/>
          <w:i w:val="0"/>
        </w:rPr>
      </w:pPr>
    </w:p>
    <w:p w:rsidR="000C7985" w:rsidRPr="00F935D4" w:rsidRDefault="000C7985" w:rsidP="0092400F">
      <w:pPr>
        <w:pStyle w:val="ListParagraph"/>
        <w:numPr>
          <w:ilvl w:val="0"/>
          <w:numId w:val="19"/>
        </w:numPr>
        <w:tabs>
          <w:tab w:val="left" w:pos="720"/>
        </w:tabs>
        <w:ind w:firstLine="0"/>
        <w:rPr>
          <w:rStyle w:val="Emphasis"/>
          <w:i w:val="0"/>
        </w:rPr>
      </w:pPr>
      <w:r w:rsidRPr="00F935D4">
        <w:rPr>
          <w:rStyle w:val="Emphasis"/>
          <w:i w:val="0"/>
        </w:rPr>
        <w:t xml:space="preserve">The approved changes will be implemented in phases </w:t>
      </w:r>
      <w:r w:rsidR="00F0408E" w:rsidRPr="00F935D4">
        <w:rPr>
          <w:rStyle w:val="Emphasis"/>
          <w:i w:val="0"/>
        </w:rPr>
        <w:t xml:space="preserve">from </w:t>
      </w:r>
      <w:r w:rsidR="00042B6F" w:rsidRPr="00F935D4">
        <w:rPr>
          <w:rStyle w:val="Emphasis"/>
          <w:i w:val="0"/>
        </w:rPr>
        <w:t xml:space="preserve">2016 </w:t>
      </w:r>
      <w:r w:rsidR="00F0408E" w:rsidRPr="00F935D4">
        <w:rPr>
          <w:rStyle w:val="Emphasis"/>
          <w:i w:val="0"/>
        </w:rPr>
        <w:t xml:space="preserve">through </w:t>
      </w:r>
      <w:r w:rsidR="00042B6F" w:rsidRPr="00F935D4">
        <w:rPr>
          <w:rStyle w:val="Emphasis"/>
          <w:i w:val="0"/>
        </w:rPr>
        <w:t>201</w:t>
      </w:r>
      <w:r w:rsidR="00F0408E" w:rsidRPr="00F935D4">
        <w:rPr>
          <w:rStyle w:val="Emphasis"/>
          <w:i w:val="0"/>
        </w:rPr>
        <w:t>8</w:t>
      </w:r>
      <w:r w:rsidR="00E94FB0" w:rsidRPr="00F935D4">
        <w:rPr>
          <w:rStyle w:val="Emphasis"/>
          <w:i w:val="0"/>
        </w:rPr>
        <w:t xml:space="preserve"> as per table below</w:t>
      </w:r>
      <w:r w:rsidR="00FD4E73">
        <w:rPr>
          <w:rStyle w:val="Emphasis"/>
          <w:i w:val="0"/>
        </w:rPr>
        <w:t>.</w:t>
      </w:r>
      <w:r w:rsidRPr="00F935D4">
        <w:rPr>
          <w:rStyle w:val="Emphasis"/>
          <w:i w:val="0"/>
        </w:rPr>
        <w:t xml:space="preserve">  The current guidance reflects practical information related to the changes that are being implemented as of 1 July 2016, including approved transitional </w:t>
      </w:r>
      <w:r w:rsidR="00B735DB" w:rsidRPr="00F935D4">
        <w:rPr>
          <w:rStyle w:val="Emphasis"/>
          <w:i w:val="0"/>
        </w:rPr>
        <w:t xml:space="preserve">and special </w:t>
      </w:r>
      <w:r w:rsidRPr="00F935D4">
        <w:rPr>
          <w:rStyle w:val="Emphasis"/>
          <w:i w:val="0"/>
        </w:rPr>
        <w:t xml:space="preserve">measures where applicable.  Therefore, this guidance covers the following </w:t>
      </w:r>
      <w:r w:rsidR="004E22C7" w:rsidRPr="00F935D4">
        <w:rPr>
          <w:rStyle w:val="Emphasis"/>
          <w:i w:val="0"/>
        </w:rPr>
        <w:t>benefits and entitlements:</w:t>
      </w:r>
      <w:r w:rsidRPr="00F935D4">
        <w:rPr>
          <w:rStyle w:val="Emphasis"/>
          <w:i w:val="0"/>
        </w:rPr>
        <w:t xml:space="preserve">  Hardship allowance, </w:t>
      </w:r>
      <w:r w:rsidR="00B735DB" w:rsidRPr="00F935D4">
        <w:rPr>
          <w:rStyle w:val="Emphasis"/>
          <w:i w:val="0"/>
        </w:rPr>
        <w:t xml:space="preserve">mobility incentive, discontinuation of non-removal allowance, </w:t>
      </w:r>
      <w:r w:rsidRPr="00F935D4">
        <w:rPr>
          <w:rStyle w:val="Emphasis"/>
          <w:i w:val="0"/>
        </w:rPr>
        <w:t xml:space="preserve">non-family service allowance, repatriation grant, </w:t>
      </w:r>
      <w:r w:rsidR="005340A7" w:rsidRPr="00F935D4">
        <w:rPr>
          <w:rStyle w:val="Emphasis"/>
          <w:i w:val="0"/>
        </w:rPr>
        <w:t xml:space="preserve">accelerated </w:t>
      </w:r>
      <w:r w:rsidRPr="00F935D4">
        <w:rPr>
          <w:rStyle w:val="Emphasis"/>
          <w:i w:val="0"/>
        </w:rPr>
        <w:t xml:space="preserve">home leave, settling-in grant, and </w:t>
      </w:r>
      <w:r w:rsidR="00042B6F" w:rsidRPr="00F935D4">
        <w:rPr>
          <w:rStyle w:val="Emphasis"/>
          <w:i w:val="0"/>
        </w:rPr>
        <w:t>relocation shipment</w:t>
      </w:r>
      <w:r w:rsidRPr="00F935D4">
        <w:rPr>
          <w:rStyle w:val="Emphasis"/>
          <w:i w:val="0"/>
        </w:rPr>
        <w:t>. Guidance on changes that will be implemented in subsequent periods</w:t>
      </w:r>
      <w:r w:rsidR="000C37A3">
        <w:rPr>
          <w:rStyle w:val="Emphasis"/>
          <w:i w:val="0"/>
        </w:rPr>
        <w:t xml:space="preserve"> </w:t>
      </w:r>
      <w:r w:rsidRPr="00F935D4">
        <w:rPr>
          <w:rStyle w:val="Emphasis"/>
          <w:i w:val="0"/>
        </w:rPr>
        <w:t xml:space="preserve">will be communicated separately prior to their </w:t>
      </w:r>
      <w:r w:rsidR="005340A7" w:rsidRPr="00F935D4">
        <w:rPr>
          <w:rStyle w:val="Emphasis"/>
          <w:i w:val="0"/>
        </w:rPr>
        <w:t>implementation</w:t>
      </w:r>
      <w:r w:rsidRPr="00F935D4">
        <w:rPr>
          <w:rStyle w:val="Emphasis"/>
          <w:i w:val="0"/>
        </w:rPr>
        <w:t>.</w:t>
      </w:r>
      <w:r w:rsidR="00AD1391" w:rsidRPr="00F935D4">
        <w:rPr>
          <w:rStyle w:val="Emphasis"/>
          <w:i w:val="0"/>
        </w:rPr>
        <w:t xml:space="preserve">  Please visit </w:t>
      </w:r>
      <w:hyperlink r:id="rId9" w:history="1">
        <w:r w:rsidR="00AD1391" w:rsidRPr="00F935D4">
          <w:rPr>
            <w:rStyle w:val="Emphasis"/>
            <w:i w:val="0"/>
          </w:rPr>
          <w:t>http://commonsystem.org/cr/</w:t>
        </w:r>
      </w:hyperlink>
      <w:r w:rsidR="00AD1391" w:rsidRPr="00F935D4">
        <w:rPr>
          <w:rStyle w:val="Emphasis"/>
          <w:i w:val="0"/>
        </w:rPr>
        <w:t xml:space="preserve"> for </w:t>
      </w:r>
      <w:r w:rsidR="000B6535" w:rsidRPr="00F935D4">
        <w:rPr>
          <w:rStyle w:val="Emphasis"/>
          <w:i w:val="0"/>
        </w:rPr>
        <w:t>additional</w:t>
      </w:r>
      <w:r w:rsidR="00AD1391" w:rsidRPr="00F935D4">
        <w:rPr>
          <w:rStyle w:val="Emphasis"/>
          <w:i w:val="0"/>
        </w:rPr>
        <w:t xml:space="preserve"> details on the new compensation package.</w:t>
      </w:r>
    </w:p>
    <w:p w:rsidR="00B735DB" w:rsidRPr="00F935D4" w:rsidRDefault="00B735DB" w:rsidP="00F935D4">
      <w:pPr>
        <w:rPr>
          <w:rStyle w:val="Emphasis"/>
          <w:i w:val="0"/>
        </w:rPr>
      </w:pPr>
    </w:p>
    <w:p w:rsidR="00F270CD" w:rsidRPr="00F935D4" w:rsidRDefault="00F270CD" w:rsidP="0092400F">
      <w:pPr>
        <w:pStyle w:val="ListParagraph"/>
        <w:numPr>
          <w:ilvl w:val="0"/>
          <w:numId w:val="19"/>
        </w:numPr>
        <w:tabs>
          <w:tab w:val="left" w:pos="720"/>
        </w:tabs>
        <w:ind w:firstLine="0"/>
        <w:rPr>
          <w:rStyle w:val="Emphasis"/>
          <w:i w:val="0"/>
        </w:rPr>
      </w:pPr>
      <w:r w:rsidRPr="00F935D4">
        <w:rPr>
          <w:rStyle w:val="Emphasis"/>
          <w:i w:val="0"/>
        </w:rPr>
        <w:t xml:space="preserve">Retroactive adjustments may be made to elements of the new compensation package with delayed implementation i.e. mobility incentive, </w:t>
      </w:r>
      <w:r w:rsidR="00FE61EC" w:rsidRPr="00F935D4">
        <w:rPr>
          <w:rStyle w:val="Emphasis"/>
          <w:i w:val="0"/>
        </w:rPr>
        <w:t xml:space="preserve">discontinuation of </w:t>
      </w:r>
      <w:r w:rsidRPr="00F935D4">
        <w:rPr>
          <w:rStyle w:val="Emphasis"/>
          <w:i w:val="0"/>
        </w:rPr>
        <w:t>non-removal allowance</w:t>
      </w:r>
      <w:r w:rsidR="000B6535" w:rsidRPr="00F935D4">
        <w:rPr>
          <w:rStyle w:val="Emphasis"/>
          <w:i w:val="0"/>
        </w:rPr>
        <w:t xml:space="preserve"> and</w:t>
      </w:r>
      <w:r w:rsidR="00FE61EC" w:rsidRPr="00F935D4">
        <w:rPr>
          <w:rStyle w:val="Emphasis"/>
          <w:i w:val="0"/>
        </w:rPr>
        <w:t xml:space="preserve"> salary related elements.</w:t>
      </w:r>
    </w:p>
    <w:p w:rsidR="00E94FB0" w:rsidRPr="00F935D4" w:rsidRDefault="00E94FB0" w:rsidP="00F935D4">
      <w:pPr>
        <w:rPr>
          <w:rStyle w:val="Emphasis"/>
          <w:i w:val="0"/>
        </w:rPr>
      </w:pPr>
    </w:p>
    <w:p w:rsidR="00E94FB0" w:rsidRPr="00F935D4" w:rsidRDefault="00E94FB0" w:rsidP="00456C73">
      <w:pPr>
        <w:ind w:left="720"/>
        <w:rPr>
          <w:rStyle w:val="Emphasis"/>
          <w:i w:val="0"/>
        </w:rPr>
      </w:pPr>
      <w:r w:rsidRPr="00F935D4">
        <w:rPr>
          <w:rStyle w:val="Emphasis"/>
          <w:i w:val="0"/>
        </w:rPr>
        <w:t>Implementation timeline of new compensation package</w:t>
      </w:r>
    </w:p>
    <w:p w:rsidR="00DC4083" w:rsidRPr="00F935D4" w:rsidRDefault="00DC4083" w:rsidP="00F935D4">
      <w:pPr>
        <w:rPr>
          <w:rStyle w:val="Emphasis"/>
          <w:i w:val="0"/>
        </w:rPr>
      </w:pPr>
    </w:p>
    <w:tbl>
      <w:tblPr>
        <w:tblStyle w:val="TableGrid"/>
        <w:tblW w:w="8658" w:type="dxa"/>
        <w:tblInd w:w="742" w:type="dxa"/>
        <w:tblLook w:val="04A0" w:firstRow="1" w:lastRow="0" w:firstColumn="1" w:lastColumn="0" w:noHBand="0" w:noVBand="1"/>
      </w:tblPr>
      <w:tblGrid>
        <w:gridCol w:w="3888"/>
        <w:gridCol w:w="2340"/>
        <w:gridCol w:w="2430"/>
      </w:tblGrid>
      <w:tr w:rsidR="00FD4E73" w:rsidRPr="00F935D4" w:rsidTr="0060396A">
        <w:tc>
          <w:tcPr>
            <w:tcW w:w="3888" w:type="dxa"/>
          </w:tcPr>
          <w:p w:rsidR="00FD4E73" w:rsidRPr="00F935D4" w:rsidRDefault="00FD4E73" w:rsidP="00F935D4">
            <w:pPr>
              <w:rPr>
                <w:rStyle w:val="Emphasis"/>
                <w:i w:val="0"/>
              </w:rPr>
            </w:pPr>
            <w:r w:rsidRPr="00F935D4">
              <w:rPr>
                <w:rStyle w:val="Emphasis"/>
                <w:i w:val="0"/>
              </w:rPr>
              <w:t>Benefit and entitlement</w:t>
            </w:r>
          </w:p>
        </w:tc>
        <w:tc>
          <w:tcPr>
            <w:tcW w:w="2340" w:type="dxa"/>
          </w:tcPr>
          <w:p w:rsidR="00FD4E73" w:rsidRPr="00FD4E73" w:rsidRDefault="00FD4E73" w:rsidP="00F935D4">
            <w:pPr>
              <w:rPr>
                <w:rStyle w:val="Emphasis"/>
                <w:i w:val="0"/>
              </w:rPr>
            </w:pPr>
            <w:r w:rsidRPr="00FD4E73">
              <w:rPr>
                <w:rStyle w:val="Emphasis"/>
                <w:i w:val="0"/>
              </w:rPr>
              <w:t>Effective date as per GA resolution 70/244</w:t>
            </w:r>
          </w:p>
        </w:tc>
        <w:tc>
          <w:tcPr>
            <w:tcW w:w="2430" w:type="dxa"/>
          </w:tcPr>
          <w:p w:rsidR="00FD4E73" w:rsidRPr="00FD4E73" w:rsidRDefault="00FD4E73" w:rsidP="00FD4E73">
            <w:pPr>
              <w:rPr>
                <w:rStyle w:val="Emphasis"/>
                <w:i w:val="0"/>
              </w:rPr>
            </w:pPr>
            <w:r w:rsidRPr="00FD4E73">
              <w:rPr>
                <w:rStyle w:val="Emphasis"/>
                <w:i w:val="0"/>
              </w:rPr>
              <w:t>Implementation date as per Secretary-General’s Note (</w:t>
            </w:r>
            <w:r>
              <w:rPr>
                <w:rStyle w:val="Emphasis"/>
                <w:i w:val="0"/>
              </w:rPr>
              <w:t>A/70/896)*</w:t>
            </w:r>
          </w:p>
        </w:tc>
      </w:tr>
      <w:tr w:rsidR="0048028B" w:rsidRPr="00F935D4" w:rsidTr="0060396A">
        <w:tc>
          <w:tcPr>
            <w:tcW w:w="3888" w:type="dxa"/>
          </w:tcPr>
          <w:p w:rsidR="0048028B" w:rsidRPr="00F935D4" w:rsidRDefault="0048028B" w:rsidP="00F935D4">
            <w:pPr>
              <w:rPr>
                <w:rStyle w:val="Emphasis"/>
                <w:i w:val="0"/>
              </w:rPr>
            </w:pPr>
            <w:r w:rsidRPr="00F935D4">
              <w:rPr>
                <w:rStyle w:val="Emphasis"/>
                <w:i w:val="0"/>
              </w:rPr>
              <w:t>Unified salary scale</w:t>
            </w:r>
          </w:p>
        </w:tc>
        <w:tc>
          <w:tcPr>
            <w:tcW w:w="2340" w:type="dxa"/>
          </w:tcPr>
          <w:p w:rsidR="0048028B" w:rsidRPr="00F935D4" w:rsidRDefault="0048028B" w:rsidP="00F935D4">
            <w:pPr>
              <w:rPr>
                <w:rStyle w:val="Emphasis"/>
                <w:i w:val="0"/>
              </w:rPr>
            </w:pPr>
            <w:r w:rsidRPr="00F935D4">
              <w:rPr>
                <w:rStyle w:val="Emphasis"/>
                <w:i w:val="0"/>
              </w:rPr>
              <w:t>1 January 2017</w:t>
            </w:r>
          </w:p>
        </w:tc>
        <w:tc>
          <w:tcPr>
            <w:tcW w:w="2430" w:type="dxa"/>
          </w:tcPr>
          <w:p w:rsidR="0048028B" w:rsidRPr="00F935D4" w:rsidRDefault="0048028B" w:rsidP="00F935D4">
            <w:pPr>
              <w:rPr>
                <w:rStyle w:val="Emphasis"/>
                <w:i w:val="0"/>
              </w:rPr>
            </w:pPr>
            <w:r w:rsidRPr="00F935D4">
              <w:rPr>
                <w:rStyle w:val="Emphasis"/>
                <w:i w:val="0"/>
              </w:rPr>
              <w:t>1 September 2017</w:t>
            </w:r>
            <w:r w:rsidR="00FD4E73">
              <w:rPr>
                <w:rStyle w:val="Emphasis"/>
                <w:i w:val="0"/>
              </w:rPr>
              <w:t>*</w:t>
            </w:r>
          </w:p>
        </w:tc>
      </w:tr>
      <w:tr w:rsidR="0048028B" w:rsidRPr="00F935D4" w:rsidTr="0060396A">
        <w:tc>
          <w:tcPr>
            <w:tcW w:w="3888" w:type="dxa"/>
          </w:tcPr>
          <w:p w:rsidR="0048028B" w:rsidRPr="00F935D4" w:rsidRDefault="0048028B" w:rsidP="00F935D4">
            <w:pPr>
              <w:rPr>
                <w:rStyle w:val="Emphasis"/>
                <w:i w:val="0"/>
              </w:rPr>
            </w:pPr>
            <w:r w:rsidRPr="00F935D4">
              <w:rPr>
                <w:rStyle w:val="Emphasis"/>
                <w:i w:val="0"/>
              </w:rPr>
              <w:t>Spouse allowance</w:t>
            </w:r>
          </w:p>
        </w:tc>
        <w:tc>
          <w:tcPr>
            <w:tcW w:w="2340" w:type="dxa"/>
          </w:tcPr>
          <w:p w:rsidR="0048028B" w:rsidRPr="00F935D4" w:rsidRDefault="0048028B" w:rsidP="00F935D4">
            <w:pPr>
              <w:rPr>
                <w:rStyle w:val="Emphasis"/>
                <w:i w:val="0"/>
              </w:rPr>
            </w:pPr>
            <w:r w:rsidRPr="00F935D4">
              <w:rPr>
                <w:rStyle w:val="Emphasis"/>
                <w:i w:val="0"/>
              </w:rPr>
              <w:t>1 January 2017</w:t>
            </w:r>
          </w:p>
        </w:tc>
        <w:tc>
          <w:tcPr>
            <w:tcW w:w="2430" w:type="dxa"/>
          </w:tcPr>
          <w:p w:rsidR="0048028B" w:rsidRPr="00F935D4" w:rsidRDefault="0048028B" w:rsidP="00F935D4">
            <w:pPr>
              <w:rPr>
                <w:rStyle w:val="Emphasis"/>
                <w:i w:val="0"/>
              </w:rPr>
            </w:pPr>
            <w:r w:rsidRPr="00F935D4">
              <w:rPr>
                <w:rStyle w:val="Emphasis"/>
                <w:i w:val="0"/>
              </w:rPr>
              <w:t>1 September 2017</w:t>
            </w:r>
            <w:r w:rsidR="00FD4E73">
              <w:rPr>
                <w:rStyle w:val="Emphasis"/>
                <w:i w:val="0"/>
              </w:rPr>
              <w:t>*</w:t>
            </w:r>
          </w:p>
        </w:tc>
      </w:tr>
      <w:tr w:rsidR="0048028B" w:rsidRPr="00F935D4" w:rsidTr="0060396A">
        <w:tc>
          <w:tcPr>
            <w:tcW w:w="3888" w:type="dxa"/>
          </w:tcPr>
          <w:p w:rsidR="0048028B" w:rsidRPr="00F935D4" w:rsidRDefault="0048028B" w:rsidP="00F935D4">
            <w:pPr>
              <w:rPr>
                <w:rStyle w:val="Emphasis"/>
                <w:i w:val="0"/>
              </w:rPr>
            </w:pPr>
            <w:r w:rsidRPr="00F935D4">
              <w:rPr>
                <w:rStyle w:val="Emphasis"/>
                <w:i w:val="0"/>
              </w:rPr>
              <w:t>Single parent allowance</w:t>
            </w:r>
          </w:p>
        </w:tc>
        <w:tc>
          <w:tcPr>
            <w:tcW w:w="2340" w:type="dxa"/>
          </w:tcPr>
          <w:p w:rsidR="0048028B" w:rsidRPr="00F935D4" w:rsidRDefault="0048028B" w:rsidP="00F935D4">
            <w:pPr>
              <w:rPr>
                <w:rStyle w:val="Emphasis"/>
                <w:i w:val="0"/>
              </w:rPr>
            </w:pPr>
            <w:r w:rsidRPr="00F935D4">
              <w:rPr>
                <w:rStyle w:val="Emphasis"/>
                <w:i w:val="0"/>
              </w:rPr>
              <w:t>1 January 2017</w:t>
            </w:r>
          </w:p>
        </w:tc>
        <w:tc>
          <w:tcPr>
            <w:tcW w:w="2430" w:type="dxa"/>
          </w:tcPr>
          <w:p w:rsidR="0048028B" w:rsidRPr="00F935D4" w:rsidRDefault="0048028B" w:rsidP="00F935D4">
            <w:pPr>
              <w:rPr>
                <w:rStyle w:val="Emphasis"/>
                <w:i w:val="0"/>
              </w:rPr>
            </w:pPr>
            <w:r w:rsidRPr="00F935D4">
              <w:rPr>
                <w:rStyle w:val="Emphasis"/>
                <w:i w:val="0"/>
              </w:rPr>
              <w:t>1 September 2017</w:t>
            </w:r>
            <w:r w:rsidR="00FD4E73">
              <w:rPr>
                <w:rStyle w:val="Emphasis"/>
                <w:i w:val="0"/>
              </w:rPr>
              <w:t>*</w:t>
            </w:r>
          </w:p>
        </w:tc>
      </w:tr>
      <w:tr w:rsidR="0048028B" w:rsidRPr="00F935D4" w:rsidTr="0060396A">
        <w:tc>
          <w:tcPr>
            <w:tcW w:w="3888" w:type="dxa"/>
          </w:tcPr>
          <w:p w:rsidR="0048028B" w:rsidRPr="00F935D4" w:rsidRDefault="0048028B" w:rsidP="00F935D4">
            <w:pPr>
              <w:rPr>
                <w:rStyle w:val="Emphasis"/>
                <w:i w:val="0"/>
              </w:rPr>
            </w:pPr>
            <w:r w:rsidRPr="00F935D4">
              <w:rPr>
                <w:rStyle w:val="Emphasis"/>
                <w:i w:val="0"/>
              </w:rPr>
              <w:t>Within grade increment</w:t>
            </w:r>
          </w:p>
        </w:tc>
        <w:tc>
          <w:tcPr>
            <w:tcW w:w="2340" w:type="dxa"/>
          </w:tcPr>
          <w:p w:rsidR="0048028B" w:rsidRPr="00F935D4" w:rsidRDefault="0048028B" w:rsidP="00F935D4">
            <w:pPr>
              <w:rPr>
                <w:rStyle w:val="Emphasis"/>
                <w:i w:val="0"/>
              </w:rPr>
            </w:pPr>
            <w:r w:rsidRPr="00F935D4">
              <w:rPr>
                <w:rStyle w:val="Emphasis"/>
                <w:i w:val="0"/>
              </w:rPr>
              <w:t>1 January 2017</w:t>
            </w:r>
          </w:p>
        </w:tc>
        <w:tc>
          <w:tcPr>
            <w:tcW w:w="2430" w:type="dxa"/>
          </w:tcPr>
          <w:p w:rsidR="0048028B" w:rsidRPr="00F935D4" w:rsidRDefault="0048028B" w:rsidP="00F935D4">
            <w:pPr>
              <w:rPr>
                <w:rStyle w:val="Emphasis"/>
                <w:i w:val="0"/>
              </w:rPr>
            </w:pPr>
            <w:r w:rsidRPr="00F935D4">
              <w:rPr>
                <w:rStyle w:val="Emphasis"/>
                <w:i w:val="0"/>
              </w:rPr>
              <w:t>1 September 2017</w:t>
            </w:r>
            <w:r w:rsidR="00FD4E73">
              <w:rPr>
                <w:rStyle w:val="Emphasis"/>
                <w:i w:val="0"/>
              </w:rPr>
              <w:t>*</w:t>
            </w:r>
          </w:p>
        </w:tc>
      </w:tr>
      <w:tr w:rsidR="0048028B" w:rsidRPr="00F935D4" w:rsidTr="0060396A">
        <w:tc>
          <w:tcPr>
            <w:tcW w:w="3888" w:type="dxa"/>
          </w:tcPr>
          <w:p w:rsidR="0048028B" w:rsidRPr="00F935D4" w:rsidRDefault="0048028B" w:rsidP="00F935D4">
            <w:pPr>
              <w:rPr>
                <w:rStyle w:val="Emphasis"/>
                <w:i w:val="0"/>
              </w:rPr>
            </w:pPr>
            <w:r w:rsidRPr="00F935D4">
              <w:rPr>
                <w:rStyle w:val="Emphasis"/>
                <w:i w:val="0"/>
              </w:rPr>
              <w:t>Discontinuation of language incentive</w:t>
            </w:r>
          </w:p>
        </w:tc>
        <w:tc>
          <w:tcPr>
            <w:tcW w:w="2340" w:type="dxa"/>
          </w:tcPr>
          <w:p w:rsidR="0048028B" w:rsidRPr="00F935D4" w:rsidRDefault="0048028B" w:rsidP="00F935D4">
            <w:pPr>
              <w:rPr>
                <w:rStyle w:val="Emphasis"/>
                <w:i w:val="0"/>
              </w:rPr>
            </w:pPr>
            <w:r w:rsidRPr="00F935D4">
              <w:rPr>
                <w:rStyle w:val="Emphasis"/>
                <w:i w:val="0"/>
              </w:rPr>
              <w:t>1 January 2017</w:t>
            </w:r>
          </w:p>
        </w:tc>
        <w:tc>
          <w:tcPr>
            <w:tcW w:w="2430" w:type="dxa"/>
          </w:tcPr>
          <w:p w:rsidR="0048028B" w:rsidRPr="00F935D4" w:rsidRDefault="0048028B" w:rsidP="00F935D4">
            <w:pPr>
              <w:rPr>
                <w:rStyle w:val="Emphasis"/>
                <w:i w:val="0"/>
              </w:rPr>
            </w:pPr>
            <w:r w:rsidRPr="00F935D4">
              <w:rPr>
                <w:rStyle w:val="Emphasis"/>
                <w:i w:val="0"/>
              </w:rPr>
              <w:t>1 September 2017</w:t>
            </w:r>
            <w:r w:rsidR="00FD4E73">
              <w:rPr>
                <w:rStyle w:val="Emphasis"/>
                <w:i w:val="0"/>
              </w:rPr>
              <w:t>*</w:t>
            </w:r>
          </w:p>
        </w:tc>
      </w:tr>
      <w:tr w:rsidR="0048028B" w:rsidRPr="00F935D4" w:rsidTr="0060396A">
        <w:tc>
          <w:tcPr>
            <w:tcW w:w="3888" w:type="dxa"/>
          </w:tcPr>
          <w:p w:rsidR="0048028B" w:rsidRPr="00F935D4" w:rsidRDefault="0048028B" w:rsidP="00F935D4">
            <w:pPr>
              <w:rPr>
                <w:rStyle w:val="Emphasis"/>
                <w:i w:val="0"/>
              </w:rPr>
            </w:pPr>
            <w:r w:rsidRPr="00F935D4">
              <w:rPr>
                <w:rStyle w:val="Emphasis"/>
                <w:i w:val="0"/>
              </w:rPr>
              <w:t>Education grant and Special education grant</w:t>
            </w:r>
          </w:p>
          <w:p w:rsidR="0048028B" w:rsidRPr="00F935D4" w:rsidRDefault="0048028B" w:rsidP="00F935D4">
            <w:pPr>
              <w:rPr>
                <w:rStyle w:val="Emphasis"/>
                <w:i w:val="0"/>
              </w:rPr>
            </w:pPr>
          </w:p>
        </w:tc>
        <w:tc>
          <w:tcPr>
            <w:tcW w:w="2340" w:type="dxa"/>
          </w:tcPr>
          <w:p w:rsidR="0048028B" w:rsidRPr="00F935D4" w:rsidRDefault="0048028B" w:rsidP="00F935D4">
            <w:pPr>
              <w:rPr>
                <w:rStyle w:val="Emphasis"/>
                <w:i w:val="0"/>
              </w:rPr>
            </w:pPr>
            <w:r w:rsidRPr="00F935D4">
              <w:rPr>
                <w:rStyle w:val="Emphasis"/>
                <w:i w:val="0"/>
              </w:rPr>
              <w:t>School year in progress as of 1 January 2018</w:t>
            </w:r>
          </w:p>
        </w:tc>
        <w:tc>
          <w:tcPr>
            <w:tcW w:w="2430" w:type="dxa"/>
          </w:tcPr>
          <w:p w:rsidR="0048028B" w:rsidRPr="00F935D4" w:rsidRDefault="0048028B" w:rsidP="00F935D4">
            <w:pPr>
              <w:rPr>
                <w:rStyle w:val="Emphasis"/>
                <w:i w:val="0"/>
              </w:rPr>
            </w:pPr>
            <w:r w:rsidRPr="00F935D4">
              <w:rPr>
                <w:rStyle w:val="Emphasis"/>
                <w:i w:val="0"/>
              </w:rPr>
              <w:t>School year in progress as of 1 January 2018</w:t>
            </w:r>
          </w:p>
        </w:tc>
      </w:tr>
      <w:tr w:rsidR="0048028B" w:rsidRPr="00F935D4" w:rsidTr="0060396A">
        <w:tc>
          <w:tcPr>
            <w:tcW w:w="3888" w:type="dxa"/>
          </w:tcPr>
          <w:p w:rsidR="0048028B" w:rsidRPr="00F935D4" w:rsidRDefault="0048028B" w:rsidP="00F935D4">
            <w:pPr>
              <w:rPr>
                <w:rStyle w:val="Emphasis"/>
                <w:i w:val="0"/>
              </w:rPr>
            </w:pPr>
            <w:r w:rsidRPr="00F935D4">
              <w:rPr>
                <w:rStyle w:val="Emphasis"/>
                <w:i w:val="0"/>
              </w:rPr>
              <w:t>Mobility incentive</w:t>
            </w:r>
          </w:p>
        </w:tc>
        <w:tc>
          <w:tcPr>
            <w:tcW w:w="2340" w:type="dxa"/>
          </w:tcPr>
          <w:p w:rsidR="0048028B" w:rsidRPr="00F935D4" w:rsidRDefault="0048028B" w:rsidP="00F935D4">
            <w:pPr>
              <w:rPr>
                <w:rStyle w:val="Emphasis"/>
                <w:i w:val="0"/>
              </w:rPr>
            </w:pPr>
            <w:r w:rsidRPr="00F935D4">
              <w:rPr>
                <w:rStyle w:val="Emphasis"/>
                <w:i w:val="0"/>
              </w:rPr>
              <w:t>1 July 2016</w:t>
            </w:r>
          </w:p>
        </w:tc>
        <w:tc>
          <w:tcPr>
            <w:tcW w:w="2430" w:type="dxa"/>
          </w:tcPr>
          <w:p w:rsidR="0048028B" w:rsidRPr="00F935D4" w:rsidRDefault="0048028B" w:rsidP="00F935D4">
            <w:pPr>
              <w:rPr>
                <w:rStyle w:val="Emphasis"/>
                <w:i w:val="0"/>
              </w:rPr>
            </w:pPr>
            <w:r w:rsidRPr="00F935D4">
              <w:rPr>
                <w:rStyle w:val="Emphasis"/>
                <w:i w:val="0"/>
              </w:rPr>
              <w:t>1 November 2016</w:t>
            </w:r>
            <w:r w:rsidR="00FD4E73">
              <w:rPr>
                <w:rStyle w:val="Emphasis"/>
                <w:i w:val="0"/>
              </w:rPr>
              <w:t>*</w:t>
            </w:r>
          </w:p>
        </w:tc>
      </w:tr>
      <w:tr w:rsidR="0048028B" w:rsidRPr="00F935D4" w:rsidTr="0060396A">
        <w:tc>
          <w:tcPr>
            <w:tcW w:w="3888" w:type="dxa"/>
          </w:tcPr>
          <w:p w:rsidR="0048028B" w:rsidRPr="00F935D4" w:rsidRDefault="0048028B" w:rsidP="00F935D4">
            <w:pPr>
              <w:rPr>
                <w:rStyle w:val="Emphasis"/>
                <w:i w:val="0"/>
              </w:rPr>
            </w:pPr>
            <w:r w:rsidRPr="00F935D4">
              <w:rPr>
                <w:rStyle w:val="Emphasis"/>
                <w:i w:val="0"/>
              </w:rPr>
              <w:t>Discontinuation of the non-removal allowance</w:t>
            </w:r>
          </w:p>
        </w:tc>
        <w:tc>
          <w:tcPr>
            <w:tcW w:w="2340" w:type="dxa"/>
          </w:tcPr>
          <w:p w:rsidR="0048028B" w:rsidRPr="00F935D4" w:rsidRDefault="0048028B" w:rsidP="00F935D4">
            <w:pPr>
              <w:rPr>
                <w:rStyle w:val="Emphasis"/>
                <w:i w:val="0"/>
              </w:rPr>
            </w:pPr>
            <w:r w:rsidRPr="00F935D4">
              <w:rPr>
                <w:rStyle w:val="Emphasis"/>
                <w:i w:val="0"/>
              </w:rPr>
              <w:t>1 July 2016</w:t>
            </w:r>
          </w:p>
        </w:tc>
        <w:tc>
          <w:tcPr>
            <w:tcW w:w="2430" w:type="dxa"/>
          </w:tcPr>
          <w:p w:rsidR="0048028B" w:rsidRPr="00F935D4" w:rsidRDefault="0048028B" w:rsidP="00F935D4">
            <w:pPr>
              <w:rPr>
                <w:rStyle w:val="Emphasis"/>
                <w:i w:val="0"/>
              </w:rPr>
            </w:pPr>
            <w:r w:rsidRPr="00F935D4">
              <w:rPr>
                <w:rStyle w:val="Emphasis"/>
                <w:i w:val="0"/>
              </w:rPr>
              <w:t>1 November 2016</w:t>
            </w:r>
            <w:r w:rsidR="00FD4E73">
              <w:rPr>
                <w:rStyle w:val="Emphasis"/>
                <w:i w:val="0"/>
              </w:rPr>
              <w:t>*</w:t>
            </w:r>
          </w:p>
        </w:tc>
      </w:tr>
      <w:tr w:rsidR="0048028B" w:rsidRPr="00F935D4" w:rsidTr="0060396A">
        <w:tc>
          <w:tcPr>
            <w:tcW w:w="3888" w:type="dxa"/>
          </w:tcPr>
          <w:p w:rsidR="0048028B" w:rsidRPr="00F935D4" w:rsidRDefault="0048028B" w:rsidP="00F935D4">
            <w:pPr>
              <w:rPr>
                <w:rStyle w:val="Emphasis"/>
                <w:i w:val="0"/>
              </w:rPr>
            </w:pPr>
            <w:r w:rsidRPr="00F935D4">
              <w:rPr>
                <w:rStyle w:val="Emphasis"/>
                <w:i w:val="0"/>
              </w:rPr>
              <w:t>Repatriation grant</w:t>
            </w:r>
          </w:p>
        </w:tc>
        <w:tc>
          <w:tcPr>
            <w:tcW w:w="2340" w:type="dxa"/>
          </w:tcPr>
          <w:p w:rsidR="0048028B" w:rsidRPr="00F935D4" w:rsidRDefault="0048028B" w:rsidP="00F935D4">
            <w:pPr>
              <w:rPr>
                <w:rStyle w:val="Emphasis"/>
                <w:i w:val="0"/>
              </w:rPr>
            </w:pPr>
            <w:r w:rsidRPr="00F935D4">
              <w:rPr>
                <w:rStyle w:val="Emphasis"/>
                <w:i w:val="0"/>
              </w:rPr>
              <w:t>1 July 2016</w:t>
            </w:r>
          </w:p>
        </w:tc>
        <w:tc>
          <w:tcPr>
            <w:tcW w:w="2430" w:type="dxa"/>
          </w:tcPr>
          <w:p w:rsidR="0048028B" w:rsidRPr="00F935D4" w:rsidRDefault="0048028B" w:rsidP="00F935D4">
            <w:pPr>
              <w:rPr>
                <w:rStyle w:val="Emphasis"/>
                <w:i w:val="0"/>
              </w:rPr>
            </w:pPr>
            <w:r w:rsidRPr="00F935D4">
              <w:rPr>
                <w:rStyle w:val="Emphasis"/>
                <w:i w:val="0"/>
              </w:rPr>
              <w:t>1 July 2016</w:t>
            </w:r>
          </w:p>
        </w:tc>
      </w:tr>
      <w:tr w:rsidR="0048028B" w:rsidRPr="00F935D4" w:rsidTr="0060396A">
        <w:tc>
          <w:tcPr>
            <w:tcW w:w="3888" w:type="dxa"/>
          </w:tcPr>
          <w:p w:rsidR="0048028B" w:rsidRPr="00F935D4" w:rsidRDefault="0048028B" w:rsidP="00F935D4">
            <w:pPr>
              <w:rPr>
                <w:rStyle w:val="Emphasis"/>
                <w:i w:val="0"/>
              </w:rPr>
            </w:pPr>
            <w:r w:rsidRPr="00F935D4">
              <w:rPr>
                <w:rStyle w:val="Emphasis"/>
                <w:i w:val="0"/>
              </w:rPr>
              <w:t>Discontinuation of accelerated home leave except in D and E duty stations not falling within the rest and recuperation framework</w:t>
            </w:r>
          </w:p>
        </w:tc>
        <w:tc>
          <w:tcPr>
            <w:tcW w:w="2340" w:type="dxa"/>
          </w:tcPr>
          <w:p w:rsidR="0048028B" w:rsidRPr="00F935D4" w:rsidRDefault="0048028B" w:rsidP="00F935D4">
            <w:pPr>
              <w:rPr>
                <w:rStyle w:val="Emphasis"/>
                <w:i w:val="0"/>
              </w:rPr>
            </w:pPr>
            <w:r w:rsidRPr="00F935D4">
              <w:rPr>
                <w:rStyle w:val="Emphasis"/>
                <w:i w:val="0"/>
              </w:rPr>
              <w:t>1 July 2016</w:t>
            </w:r>
          </w:p>
        </w:tc>
        <w:tc>
          <w:tcPr>
            <w:tcW w:w="2430" w:type="dxa"/>
          </w:tcPr>
          <w:p w:rsidR="0048028B" w:rsidRPr="00F935D4" w:rsidRDefault="0048028B" w:rsidP="00F935D4">
            <w:pPr>
              <w:rPr>
                <w:rStyle w:val="Emphasis"/>
                <w:i w:val="0"/>
              </w:rPr>
            </w:pPr>
            <w:r w:rsidRPr="00F935D4">
              <w:rPr>
                <w:rStyle w:val="Emphasis"/>
                <w:i w:val="0"/>
              </w:rPr>
              <w:t>1 July 2016</w:t>
            </w:r>
          </w:p>
        </w:tc>
      </w:tr>
      <w:tr w:rsidR="0048028B" w:rsidRPr="00F935D4" w:rsidTr="0060396A">
        <w:tc>
          <w:tcPr>
            <w:tcW w:w="3888" w:type="dxa"/>
          </w:tcPr>
          <w:p w:rsidR="0048028B" w:rsidRPr="00F935D4" w:rsidRDefault="0048028B" w:rsidP="00F935D4">
            <w:pPr>
              <w:rPr>
                <w:rStyle w:val="Emphasis"/>
                <w:i w:val="0"/>
              </w:rPr>
            </w:pPr>
            <w:r w:rsidRPr="00F935D4">
              <w:rPr>
                <w:rStyle w:val="Emphasis"/>
                <w:i w:val="0"/>
              </w:rPr>
              <w:t>Hardship allowance</w:t>
            </w:r>
          </w:p>
        </w:tc>
        <w:tc>
          <w:tcPr>
            <w:tcW w:w="2340" w:type="dxa"/>
          </w:tcPr>
          <w:p w:rsidR="0048028B" w:rsidRPr="00F935D4" w:rsidRDefault="0048028B" w:rsidP="00F935D4">
            <w:pPr>
              <w:rPr>
                <w:rStyle w:val="Emphasis"/>
                <w:i w:val="0"/>
              </w:rPr>
            </w:pPr>
            <w:r w:rsidRPr="00F935D4">
              <w:rPr>
                <w:rStyle w:val="Emphasis"/>
                <w:i w:val="0"/>
              </w:rPr>
              <w:t>1 July 2016</w:t>
            </w:r>
          </w:p>
        </w:tc>
        <w:tc>
          <w:tcPr>
            <w:tcW w:w="2430" w:type="dxa"/>
          </w:tcPr>
          <w:p w:rsidR="0048028B" w:rsidRPr="00F935D4" w:rsidRDefault="0048028B" w:rsidP="00F935D4">
            <w:pPr>
              <w:rPr>
                <w:rStyle w:val="Emphasis"/>
                <w:i w:val="0"/>
              </w:rPr>
            </w:pPr>
            <w:r w:rsidRPr="00F935D4">
              <w:rPr>
                <w:rStyle w:val="Emphasis"/>
                <w:i w:val="0"/>
              </w:rPr>
              <w:t>1 July 2016</w:t>
            </w:r>
          </w:p>
        </w:tc>
      </w:tr>
      <w:tr w:rsidR="0048028B" w:rsidRPr="00F935D4" w:rsidTr="0060396A">
        <w:tc>
          <w:tcPr>
            <w:tcW w:w="3888" w:type="dxa"/>
          </w:tcPr>
          <w:p w:rsidR="0048028B" w:rsidRPr="00F935D4" w:rsidRDefault="0048028B" w:rsidP="00F935D4">
            <w:pPr>
              <w:rPr>
                <w:rStyle w:val="Emphasis"/>
                <w:i w:val="0"/>
              </w:rPr>
            </w:pPr>
            <w:r w:rsidRPr="00F935D4">
              <w:rPr>
                <w:rStyle w:val="Emphasis"/>
                <w:i w:val="0"/>
              </w:rPr>
              <w:t>Non-family service allowance</w:t>
            </w:r>
          </w:p>
        </w:tc>
        <w:tc>
          <w:tcPr>
            <w:tcW w:w="2340" w:type="dxa"/>
          </w:tcPr>
          <w:p w:rsidR="0048028B" w:rsidRPr="00F935D4" w:rsidRDefault="0048028B" w:rsidP="00F935D4">
            <w:pPr>
              <w:rPr>
                <w:rStyle w:val="Emphasis"/>
                <w:i w:val="0"/>
              </w:rPr>
            </w:pPr>
            <w:r w:rsidRPr="00F935D4">
              <w:rPr>
                <w:rStyle w:val="Emphasis"/>
                <w:i w:val="0"/>
              </w:rPr>
              <w:t>1 July 2016</w:t>
            </w:r>
          </w:p>
        </w:tc>
        <w:tc>
          <w:tcPr>
            <w:tcW w:w="2430" w:type="dxa"/>
          </w:tcPr>
          <w:p w:rsidR="0048028B" w:rsidRPr="00F935D4" w:rsidRDefault="0048028B" w:rsidP="00F935D4">
            <w:pPr>
              <w:rPr>
                <w:rStyle w:val="Emphasis"/>
                <w:i w:val="0"/>
              </w:rPr>
            </w:pPr>
            <w:r w:rsidRPr="00F935D4">
              <w:rPr>
                <w:rStyle w:val="Emphasis"/>
                <w:i w:val="0"/>
              </w:rPr>
              <w:t>1 July 2016</w:t>
            </w:r>
          </w:p>
        </w:tc>
      </w:tr>
      <w:tr w:rsidR="0048028B" w:rsidRPr="00F935D4" w:rsidTr="0060396A">
        <w:tc>
          <w:tcPr>
            <w:tcW w:w="3888" w:type="dxa"/>
          </w:tcPr>
          <w:p w:rsidR="0048028B" w:rsidRPr="00F935D4" w:rsidRDefault="0048028B" w:rsidP="00F935D4">
            <w:pPr>
              <w:rPr>
                <w:rStyle w:val="Emphasis"/>
                <w:i w:val="0"/>
              </w:rPr>
            </w:pPr>
            <w:r w:rsidRPr="00F935D4">
              <w:rPr>
                <w:rStyle w:val="Emphasis"/>
                <w:i w:val="0"/>
              </w:rPr>
              <w:t>Settling-in grant</w:t>
            </w:r>
          </w:p>
        </w:tc>
        <w:tc>
          <w:tcPr>
            <w:tcW w:w="2340" w:type="dxa"/>
          </w:tcPr>
          <w:p w:rsidR="0048028B" w:rsidRPr="00F935D4" w:rsidRDefault="0048028B" w:rsidP="00F935D4">
            <w:pPr>
              <w:rPr>
                <w:rStyle w:val="Emphasis"/>
                <w:i w:val="0"/>
              </w:rPr>
            </w:pPr>
            <w:r w:rsidRPr="00F935D4">
              <w:rPr>
                <w:rStyle w:val="Emphasis"/>
                <w:i w:val="0"/>
              </w:rPr>
              <w:t>1 July 2016</w:t>
            </w:r>
          </w:p>
        </w:tc>
        <w:tc>
          <w:tcPr>
            <w:tcW w:w="2430" w:type="dxa"/>
          </w:tcPr>
          <w:p w:rsidR="0048028B" w:rsidRPr="00F935D4" w:rsidRDefault="0048028B" w:rsidP="00F935D4">
            <w:pPr>
              <w:rPr>
                <w:rStyle w:val="Emphasis"/>
                <w:i w:val="0"/>
              </w:rPr>
            </w:pPr>
            <w:r w:rsidRPr="00F935D4">
              <w:rPr>
                <w:rStyle w:val="Emphasis"/>
                <w:i w:val="0"/>
              </w:rPr>
              <w:t>1 July 2016</w:t>
            </w:r>
          </w:p>
        </w:tc>
      </w:tr>
      <w:tr w:rsidR="0048028B" w:rsidRPr="00F935D4" w:rsidTr="0060396A">
        <w:tc>
          <w:tcPr>
            <w:tcW w:w="3888" w:type="dxa"/>
          </w:tcPr>
          <w:p w:rsidR="0048028B" w:rsidRPr="00F935D4" w:rsidRDefault="0048028B" w:rsidP="00F935D4">
            <w:pPr>
              <w:rPr>
                <w:rStyle w:val="Emphasis"/>
                <w:i w:val="0"/>
              </w:rPr>
            </w:pPr>
            <w:r w:rsidRPr="00F935D4">
              <w:rPr>
                <w:rStyle w:val="Emphasis"/>
                <w:i w:val="0"/>
              </w:rPr>
              <w:t>Relocation shipment (including unaccompanied shipment)</w:t>
            </w:r>
          </w:p>
        </w:tc>
        <w:tc>
          <w:tcPr>
            <w:tcW w:w="2340" w:type="dxa"/>
          </w:tcPr>
          <w:p w:rsidR="0048028B" w:rsidRPr="00F935D4" w:rsidRDefault="0048028B" w:rsidP="00F935D4">
            <w:pPr>
              <w:rPr>
                <w:rStyle w:val="Emphasis"/>
                <w:i w:val="0"/>
              </w:rPr>
            </w:pPr>
            <w:r w:rsidRPr="00F935D4">
              <w:rPr>
                <w:rStyle w:val="Emphasis"/>
                <w:i w:val="0"/>
              </w:rPr>
              <w:t>1 July 2016</w:t>
            </w:r>
          </w:p>
        </w:tc>
        <w:tc>
          <w:tcPr>
            <w:tcW w:w="2430" w:type="dxa"/>
          </w:tcPr>
          <w:p w:rsidR="0048028B" w:rsidRPr="00F935D4" w:rsidRDefault="0048028B" w:rsidP="00F935D4">
            <w:pPr>
              <w:rPr>
                <w:rStyle w:val="Emphasis"/>
                <w:i w:val="0"/>
              </w:rPr>
            </w:pPr>
            <w:r w:rsidRPr="00F935D4">
              <w:rPr>
                <w:rStyle w:val="Emphasis"/>
                <w:i w:val="0"/>
              </w:rPr>
              <w:t>1 July 2016</w:t>
            </w:r>
          </w:p>
        </w:tc>
      </w:tr>
    </w:tbl>
    <w:p w:rsidR="00E94FB0" w:rsidRPr="009E74F1" w:rsidRDefault="00FD4E73" w:rsidP="0092400F">
      <w:pPr>
        <w:ind w:left="630" w:firstLine="90"/>
        <w:rPr>
          <w:rStyle w:val="Emphasis"/>
          <w:i w:val="0"/>
          <w:sz w:val="16"/>
          <w:szCs w:val="16"/>
        </w:rPr>
      </w:pPr>
      <w:r w:rsidRPr="00FD4E73">
        <w:rPr>
          <w:rFonts w:ascii="Helv" w:hAnsi="Helv" w:cs="Helv"/>
          <w:color w:val="000000"/>
          <w:sz w:val="20"/>
          <w:szCs w:val="20"/>
          <w:lang w:eastAsia="en-GB"/>
        </w:rPr>
        <w:t xml:space="preserve"> </w:t>
      </w:r>
      <w:r>
        <w:rPr>
          <w:rFonts w:ascii="Helv" w:hAnsi="Helv" w:cs="Helv"/>
          <w:color w:val="000000"/>
          <w:sz w:val="20"/>
          <w:szCs w:val="20"/>
          <w:lang w:eastAsia="en-GB"/>
        </w:rPr>
        <w:t xml:space="preserve">* </w:t>
      </w:r>
      <w:r w:rsidRPr="00FD4E73">
        <w:rPr>
          <w:rFonts w:ascii="Helv" w:hAnsi="Helv" w:cs="Helv"/>
          <w:color w:val="000000"/>
          <w:sz w:val="16"/>
          <w:szCs w:val="16"/>
          <w:lang w:eastAsia="en-GB"/>
        </w:rPr>
        <w:t xml:space="preserve">The Secretary-General’s Note (A/70/896) is yet to be considered by the General Assembly. Should the General Assembly </w:t>
      </w:r>
      <w:r>
        <w:rPr>
          <w:rFonts w:ascii="Helv" w:hAnsi="Helv" w:cs="Helv"/>
          <w:color w:val="000000"/>
          <w:sz w:val="16"/>
          <w:szCs w:val="16"/>
          <w:lang w:eastAsia="en-GB"/>
        </w:rPr>
        <w:t xml:space="preserve">not approve </w:t>
      </w:r>
      <w:r w:rsidRPr="00FD4E73">
        <w:rPr>
          <w:rFonts w:ascii="Helv" w:hAnsi="Helv" w:cs="Helv"/>
          <w:color w:val="000000"/>
          <w:sz w:val="16"/>
          <w:szCs w:val="16"/>
          <w:lang w:eastAsia="en-GB"/>
        </w:rPr>
        <w:t xml:space="preserve">the Secretary-General's proposal to align the effective dates with the actual implementation dates, changes will need to be implemented retroactively to the effective </w:t>
      </w:r>
      <w:r w:rsidR="00652595">
        <w:rPr>
          <w:rFonts w:ascii="Helv" w:hAnsi="Helv" w:cs="Helv"/>
          <w:color w:val="000000"/>
          <w:sz w:val="16"/>
          <w:szCs w:val="16"/>
          <w:lang w:eastAsia="en-GB"/>
        </w:rPr>
        <w:t xml:space="preserve">General Assembly </w:t>
      </w:r>
      <w:r w:rsidRPr="00FD4E73">
        <w:rPr>
          <w:rFonts w:ascii="Helv" w:hAnsi="Helv" w:cs="Helv"/>
          <w:color w:val="000000"/>
          <w:sz w:val="16"/>
          <w:szCs w:val="16"/>
          <w:lang w:eastAsia="en-GB"/>
        </w:rPr>
        <w:t>mandated dates.</w:t>
      </w:r>
    </w:p>
    <w:p w:rsidR="00E94FB0" w:rsidRPr="00F935D4" w:rsidRDefault="00E94FB0" w:rsidP="00F935D4">
      <w:pPr>
        <w:rPr>
          <w:rStyle w:val="Emphasis"/>
          <w:i w:val="0"/>
        </w:rPr>
      </w:pPr>
    </w:p>
    <w:p w:rsidR="000C7985" w:rsidRPr="00F935D4" w:rsidRDefault="000C7985" w:rsidP="0092400F">
      <w:pPr>
        <w:pStyle w:val="ListParagraph"/>
        <w:numPr>
          <w:ilvl w:val="0"/>
          <w:numId w:val="19"/>
        </w:numPr>
        <w:tabs>
          <w:tab w:val="left" w:pos="720"/>
        </w:tabs>
        <w:ind w:firstLine="0"/>
        <w:rPr>
          <w:rStyle w:val="Emphasis"/>
          <w:i w:val="0"/>
        </w:rPr>
      </w:pPr>
      <w:r w:rsidRPr="00F935D4">
        <w:rPr>
          <w:rStyle w:val="Emphasis"/>
          <w:i w:val="0"/>
        </w:rPr>
        <w:t>Th</w:t>
      </w:r>
      <w:r w:rsidR="005340A7" w:rsidRPr="00F935D4">
        <w:rPr>
          <w:rStyle w:val="Emphasis"/>
          <w:i w:val="0"/>
        </w:rPr>
        <w:t>is</w:t>
      </w:r>
      <w:r w:rsidRPr="00F935D4">
        <w:rPr>
          <w:rStyle w:val="Emphasis"/>
          <w:i w:val="0"/>
        </w:rPr>
        <w:t xml:space="preserve"> guidance </w:t>
      </w:r>
      <w:r w:rsidR="00F441C7" w:rsidRPr="00F935D4">
        <w:rPr>
          <w:rStyle w:val="Emphasis"/>
          <w:i w:val="0"/>
        </w:rPr>
        <w:t xml:space="preserve">is intended </w:t>
      </w:r>
      <w:r w:rsidRPr="00F935D4">
        <w:rPr>
          <w:rStyle w:val="Emphasis"/>
          <w:i w:val="0"/>
        </w:rPr>
        <w:t>as a practical tool for human resources practitioners and staff members at large in the implementation of the changes in the compensation package that come into force on 1 July 2016</w:t>
      </w:r>
      <w:r w:rsidR="00464C00" w:rsidRPr="00F935D4">
        <w:rPr>
          <w:rStyle w:val="Emphasis"/>
          <w:i w:val="0"/>
        </w:rPr>
        <w:t xml:space="preserve">.  </w:t>
      </w:r>
      <w:r w:rsidRPr="00F935D4">
        <w:rPr>
          <w:rStyle w:val="Emphasis"/>
          <w:i w:val="0"/>
        </w:rPr>
        <w:t xml:space="preserve">They are a supplement and do not replace the provisions of the relevant Staff Rules and Staff Regulations and administrative </w:t>
      </w:r>
      <w:r w:rsidR="005340A7" w:rsidRPr="00F935D4">
        <w:rPr>
          <w:rStyle w:val="Emphasis"/>
          <w:i w:val="0"/>
        </w:rPr>
        <w:t>instructions</w:t>
      </w:r>
      <w:r w:rsidRPr="00F935D4">
        <w:rPr>
          <w:rStyle w:val="Emphasis"/>
          <w:i w:val="0"/>
        </w:rPr>
        <w:t xml:space="preserve">. </w:t>
      </w:r>
      <w:r w:rsidR="005340A7" w:rsidRPr="00F935D4">
        <w:rPr>
          <w:rStyle w:val="Emphasis"/>
          <w:i w:val="0"/>
        </w:rPr>
        <w:t xml:space="preserve"> </w:t>
      </w:r>
      <w:r w:rsidR="00464C00" w:rsidRPr="00F935D4">
        <w:rPr>
          <w:rStyle w:val="Emphasis"/>
          <w:i w:val="0"/>
        </w:rPr>
        <w:t xml:space="preserve">They should be read in conjunction and with primary reference to the </w:t>
      </w:r>
      <w:r w:rsidR="001E0A18" w:rsidRPr="00F935D4">
        <w:rPr>
          <w:rStyle w:val="Emphasis"/>
          <w:i w:val="0"/>
        </w:rPr>
        <w:t xml:space="preserve">relevant </w:t>
      </w:r>
      <w:r w:rsidR="00464C00" w:rsidRPr="00F935D4">
        <w:rPr>
          <w:rStyle w:val="Emphasis"/>
          <w:i w:val="0"/>
        </w:rPr>
        <w:t xml:space="preserve">promulgated administrative issuances.  </w:t>
      </w:r>
      <w:r w:rsidRPr="00F935D4">
        <w:rPr>
          <w:rStyle w:val="Emphasis"/>
          <w:i w:val="0"/>
        </w:rPr>
        <w:t xml:space="preserve">In the event of any discrepancy, the Staff Rules and Staff Regulations and administrative instructions prevail. </w:t>
      </w:r>
      <w:r w:rsidR="002257AB" w:rsidRPr="00F935D4">
        <w:rPr>
          <w:rStyle w:val="Emphasis"/>
          <w:i w:val="0"/>
        </w:rPr>
        <w:t xml:space="preserve"> </w:t>
      </w:r>
    </w:p>
    <w:p w:rsidR="00AC5B48" w:rsidRDefault="00AC5B48" w:rsidP="00F935D4">
      <w:pPr>
        <w:rPr>
          <w:rStyle w:val="Emphasis"/>
          <w:i w:val="0"/>
        </w:rPr>
      </w:pPr>
    </w:p>
    <w:p w:rsidR="006B1EA7" w:rsidRDefault="006B1EA7" w:rsidP="00F935D4">
      <w:pPr>
        <w:rPr>
          <w:rStyle w:val="Emphasis"/>
          <w:i w:val="0"/>
        </w:rPr>
      </w:pPr>
    </w:p>
    <w:p w:rsidR="006B1EA7" w:rsidRDefault="006B1EA7" w:rsidP="00F935D4">
      <w:pPr>
        <w:rPr>
          <w:rStyle w:val="Emphasis"/>
          <w:i w:val="0"/>
        </w:rPr>
      </w:pPr>
    </w:p>
    <w:p w:rsidR="006B1EA7" w:rsidRPr="00F935D4" w:rsidRDefault="006B1EA7" w:rsidP="00F935D4">
      <w:pPr>
        <w:rPr>
          <w:rStyle w:val="Emphasis"/>
          <w:i w:val="0"/>
        </w:rPr>
      </w:pPr>
    </w:p>
    <w:p w:rsidR="00F71312" w:rsidRPr="0016598F" w:rsidRDefault="00CE52E8" w:rsidP="0092400F">
      <w:pPr>
        <w:pStyle w:val="ListParagraph"/>
        <w:numPr>
          <w:ilvl w:val="0"/>
          <w:numId w:val="18"/>
        </w:numPr>
        <w:ind w:hanging="810"/>
        <w:rPr>
          <w:rStyle w:val="Emphasis"/>
          <w:b/>
          <w:i w:val="0"/>
        </w:rPr>
      </w:pPr>
      <w:r w:rsidRPr="0016598F">
        <w:rPr>
          <w:rStyle w:val="Emphasis"/>
          <w:b/>
          <w:i w:val="0"/>
        </w:rPr>
        <w:lastRenderedPageBreak/>
        <w:t>Hardship allowance</w:t>
      </w:r>
    </w:p>
    <w:p w:rsidR="00CE52E8" w:rsidRPr="00F935D4" w:rsidRDefault="00CE52E8" w:rsidP="00F935D4">
      <w:pPr>
        <w:rPr>
          <w:rStyle w:val="Emphasis"/>
          <w:i w:val="0"/>
        </w:rPr>
      </w:pPr>
    </w:p>
    <w:p w:rsidR="00CE52E8" w:rsidRPr="00F935D4" w:rsidRDefault="00CE52E8" w:rsidP="0092400F">
      <w:pPr>
        <w:pStyle w:val="ListParagraph"/>
        <w:numPr>
          <w:ilvl w:val="0"/>
          <w:numId w:val="19"/>
        </w:numPr>
        <w:tabs>
          <w:tab w:val="left" w:pos="720"/>
        </w:tabs>
        <w:ind w:firstLine="0"/>
        <w:rPr>
          <w:rStyle w:val="Emphasis"/>
          <w:i w:val="0"/>
        </w:rPr>
      </w:pPr>
      <w:r w:rsidRPr="00F935D4">
        <w:rPr>
          <w:rStyle w:val="Emphasis"/>
          <w:i w:val="0"/>
        </w:rPr>
        <w:t xml:space="preserve">The </w:t>
      </w:r>
      <w:r w:rsidR="002257AB" w:rsidRPr="00F935D4">
        <w:rPr>
          <w:rStyle w:val="Emphasis"/>
          <w:i w:val="0"/>
        </w:rPr>
        <w:t xml:space="preserve">ICSC will continue to </w:t>
      </w:r>
      <w:r w:rsidR="00486591" w:rsidRPr="00F935D4">
        <w:rPr>
          <w:rStyle w:val="Emphasis"/>
          <w:i w:val="0"/>
        </w:rPr>
        <w:t>classif</w:t>
      </w:r>
      <w:r w:rsidR="002257AB" w:rsidRPr="00F935D4">
        <w:rPr>
          <w:rStyle w:val="Emphasis"/>
          <w:i w:val="0"/>
        </w:rPr>
        <w:t>y</w:t>
      </w:r>
      <w:r w:rsidR="00486591" w:rsidRPr="00F935D4">
        <w:rPr>
          <w:rStyle w:val="Emphasis"/>
          <w:i w:val="0"/>
        </w:rPr>
        <w:t xml:space="preserve"> duty stations into six categories by level of difficulty:  H and A to E.  H duty stations are headquarters duty stations and similarly designated duty stations where the United Nations has no developmental or humanitarian assistance programmes, or locations in countries that are members of the European Union.  A to E duty stations are considered field duty stations with those classified as A</w:t>
      </w:r>
      <w:r w:rsidRPr="00F935D4">
        <w:rPr>
          <w:rStyle w:val="Emphasis"/>
          <w:i w:val="0"/>
        </w:rPr>
        <w:t xml:space="preserve"> representing the least difficult </w:t>
      </w:r>
      <w:r w:rsidR="00486591" w:rsidRPr="00F935D4">
        <w:rPr>
          <w:rStyle w:val="Emphasis"/>
          <w:i w:val="0"/>
        </w:rPr>
        <w:t xml:space="preserve">and </w:t>
      </w:r>
      <w:r w:rsidRPr="00F935D4">
        <w:rPr>
          <w:rStyle w:val="Emphasis"/>
          <w:i w:val="0"/>
        </w:rPr>
        <w:t xml:space="preserve">E representing the most difficult conditions of life and work.  </w:t>
      </w:r>
    </w:p>
    <w:p w:rsidR="00237342" w:rsidRPr="00F935D4" w:rsidRDefault="00237342" w:rsidP="00F935D4">
      <w:pPr>
        <w:rPr>
          <w:rStyle w:val="Emphasis"/>
          <w:i w:val="0"/>
        </w:rPr>
      </w:pPr>
    </w:p>
    <w:p w:rsidR="00237342" w:rsidRPr="0016598F" w:rsidRDefault="00237342" w:rsidP="00F935D4">
      <w:pPr>
        <w:ind w:left="720"/>
        <w:rPr>
          <w:rStyle w:val="Emphasis"/>
          <w:b/>
        </w:rPr>
      </w:pPr>
      <w:r w:rsidRPr="0016598F">
        <w:rPr>
          <w:rStyle w:val="Emphasis"/>
          <w:b/>
        </w:rPr>
        <w:t>Eligibility</w:t>
      </w:r>
    </w:p>
    <w:p w:rsidR="00237342" w:rsidRPr="00F935D4" w:rsidRDefault="00237342" w:rsidP="00F935D4">
      <w:pPr>
        <w:rPr>
          <w:rStyle w:val="Emphasis"/>
          <w:i w:val="0"/>
        </w:rPr>
      </w:pPr>
    </w:p>
    <w:p w:rsidR="00237342" w:rsidRPr="00F935D4" w:rsidRDefault="00237342" w:rsidP="0092400F">
      <w:pPr>
        <w:pStyle w:val="ListParagraph"/>
        <w:numPr>
          <w:ilvl w:val="0"/>
          <w:numId w:val="19"/>
        </w:numPr>
        <w:tabs>
          <w:tab w:val="left" w:pos="720"/>
        </w:tabs>
        <w:ind w:firstLine="0"/>
        <w:rPr>
          <w:rStyle w:val="Emphasis"/>
          <w:i w:val="0"/>
        </w:rPr>
      </w:pPr>
      <w:r w:rsidRPr="00F935D4">
        <w:rPr>
          <w:rStyle w:val="Emphasis"/>
          <w:i w:val="0"/>
        </w:rPr>
        <w:t xml:space="preserve"> </w:t>
      </w:r>
      <w:r w:rsidR="008F0B8D" w:rsidRPr="00F935D4">
        <w:rPr>
          <w:rStyle w:val="Emphasis"/>
          <w:i w:val="0"/>
        </w:rPr>
        <w:t>S</w:t>
      </w:r>
      <w:r w:rsidRPr="00F935D4">
        <w:rPr>
          <w:rStyle w:val="Emphasis"/>
          <w:i w:val="0"/>
        </w:rPr>
        <w:t xml:space="preserve">taff members in the professional and higher categories and in the field service category </w:t>
      </w:r>
      <w:r w:rsidR="00A8465A">
        <w:rPr>
          <w:rStyle w:val="Emphasis"/>
          <w:i w:val="0"/>
        </w:rPr>
        <w:t xml:space="preserve">and internationally recruited general service staff </w:t>
      </w:r>
      <w:r w:rsidRPr="00F935D4">
        <w:rPr>
          <w:rStyle w:val="Emphasis"/>
          <w:i w:val="0"/>
        </w:rPr>
        <w:t xml:space="preserve">holding a fixed-term, continuing, permanent or temporary appointment and appointed/assigned to a duty station  with a hardship category of B, C, D, and E will </w:t>
      </w:r>
      <w:r w:rsidR="008F0B8D" w:rsidRPr="00F935D4">
        <w:rPr>
          <w:rStyle w:val="Emphasis"/>
          <w:i w:val="0"/>
        </w:rPr>
        <w:t xml:space="preserve">continue to </w:t>
      </w:r>
      <w:r w:rsidRPr="00F935D4">
        <w:rPr>
          <w:rStyle w:val="Emphasis"/>
          <w:i w:val="0"/>
        </w:rPr>
        <w:t xml:space="preserve">be entitled to a hardship allowance.  The allowance shall be payable from the beginning of the appointment/assignment to the duty station with a hardship classification of B, C, D or E </w:t>
      </w:r>
      <w:r w:rsidR="00647E3F" w:rsidRPr="00F935D4">
        <w:rPr>
          <w:rStyle w:val="Emphasis"/>
          <w:i w:val="0"/>
        </w:rPr>
        <w:t>irrespective of</w:t>
      </w:r>
      <w:r w:rsidRPr="00F935D4">
        <w:rPr>
          <w:rStyle w:val="Emphasis"/>
          <w:i w:val="0"/>
        </w:rPr>
        <w:t xml:space="preserve"> the duration of the staff members appointment/assignment to the duty station or change of the hardship classification to a category that gives rise to the allowance.  The hardship allowance is not payable in duty stations classified as H and A.  </w:t>
      </w:r>
    </w:p>
    <w:p w:rsidR="00237342" w:rsidRPr="00F935D4" w:rsidRDefault="00237342" w:rsidP="00F935D4">
      <w:pPr>
        <w:rPr>
          <w:rStyle w:val="Emphasis"/>
          <w:i w:val="0"/>
        </w:rPr>
      </w:pPr>
    </w:p>
    <w:p w:rsidR="00237342" w:rsidRPr="0016598F" w:rsidRDefault="00237342" w:rsidP="00543FDC">
      <w:pPr>
        <w:ind w:left="720"/>
        <w:rPr>
          <w:rStyle w:val="Emphasis"/>
          <w:b/>
        </w:rPr>
      </w:pPr>
      <w:r w:rsidRPr="0016598F">
        <w:rPr>
          <w:rStyle w:val="Emphasis"/>
          <w:b/>
        </w:rPr>
        <w:t xml:space="preserve">Amount of the allowance </w:t>
      </w:r>
    </w:p>
    <w:p w:rsidR="00237342" w:rsidRPr="00F935D4" w:rsidRDefault="00237342" w:rsidP="00F935D4">
      <w:pPr>
        <w:rPr>
          <w:rStyle w:val="Emphasis"/>
          <w:i w:val="0"/>
        </w:rPr>
      </w:pPr>
    </w:p>
    <w:p w:rsidR="00237342" w:rsidRPr="00F935D4" w:rsidRDefault="00237342" w:rsidP="0092400F">
      <w:pPr>
        <w:pStyle w:val="ListParagraph"/>
        <w:numPr>
          <w:ilvl w:val="0"/>
          <w:numId w:val="19"/>
        </w:numPr>
        <w:tabs>
          <w:tab w:val="left" w:pos="720"/>
        </w:tabs>
        <w:ind w:firstLine="0"/>
        <w:rPr>
          <w:rStyle w:val="Emphasis"/>
          <w:i w:val="0"/>
        </w:rPr>
      </w:pPr>
      <w:r w:rsidRPr="00F935D4">
        <w:rPr>
          <w:rStyle w:val="Emphasis"/>
          <w:i w:val="0"/>
        </w:rPr>
        <w:t xml:space="preserve">Effective 1 July 2016, the hardship allowance is payable based on a flat rate differentiated and grouped by grade level and hardship classification as per the table below.  The new hardship allowance no longer distinguishes based on </w:t>
      </w:r>
      <w:r w:rsidR="00FC6D1C" w:rsidRPr="00F935D4">
        <w:rPr>
          <w:rStyle w:val="Emphasis"/>
          <w:i w:val="0"/>
        </w:rPr>
        <w:t xml:space="preserve">dependency </w:t>
      </w:r>
      <w:r w:rsidRPr="00F935D4">
        <w:rPr>
          <w:rStyle w:val="Emphasis"/>
          <w:i w:val="0"/>
        </w:rPr>
        <w:t xml:space="preserve">status.  Therefore, a change in </w:t>
      </w:r>
      <w:r w:rsidR="00FC6D1C" w:rsidRPr="00F935D4">
        <w:rPr>
          <w:rStyle w:val="Emphasis"/>
          <w:i w:val="0"/>
        </w:rPr>
        <w:t xml:space="preserve">dependency </w:t>
      </w:r>
      <w:r w:rsidRPr="00F935D4">
        <w:rPr>
          <w:rStyle w:val="Emphasis"/>
          <w:i w:val="0"/>
        </w:rPr>
        <w:t>status as of 1 July 2016 does not trigger an adjustment in the amount of the hardship allowance.</w:t>
      </w:r>
      <w:r w:rsidR="00967FA3" w:rsidRPr="00F935D4">
        <w:rPr>
          <w:rStyle w:val="Emphasis"/>
          <w:i w:val="0"/>
        </w:rPr>
        <w:t xml:space="preserve">  The old hardship allowance differentiated by grade level and </w:t>
      </w:r>
      <w:r w:rsidR="00FC6D1C" w:rsidRPr="00F935D4">
        <w:rPr>
          <w:rStyle w:val="Emphasis"/>
          <w:i w:val="0"/>
        </w:rPr>
        <w:t xml:space="preserve">dependency </w:t>
      </w:r>
      <w:r w:rsidR="00967FA3" w:rsidRPr="00F935D4">
        <w:rPr>
          <w:rStyle w:val="Emphasis"/>
          <w:i w:val="0"/>
        </w:rPr>
        <w:t>status shall be discontinued effective 30 June 2016 COB.</w:t>
      </w:r>
    </w:p>
    <w:p w:rsidR="00237342" w:rsidRPr="00F935D4" w:rsidRDefault="00237342" w:rsidP="00F935D4">
      <w:pPr>
        <w:rPr>
          <w:rStyle w:val="Emphasis"/>
          <w:i w:val="0"/>
        </w:rPr>
      </w:pPr>
    </w:p>
    <w:p w:rsidR="00237342" w:rsidRPr="00543FDC" w:rsidRDefault="00237342" w:rsidP="0060396A">
      <w:pPr>
        <w:ind w:left="720"/>
        <w:rPr>
          <w:rStyle w:val="Emphasis"/>
          <w:i w:val="0"/>
          <w:sz w:val="16"/>
          <w:szCs w:val="16"/>
        </w:rPr>
      </w:pPr>
      <w:r w:rsidRPr="00543FDC">
        <w:rPr>
          <w:rStyle w:val="Emphasis"/>
          <w:i w:val="0"/>
          <w:sz w:val="16"/>
          <w:szCs w:val="16"/>
        </w:rPr>
        <w:t>Hardship allowance effective 1 July 2016</w:t>
      </w:r>
    </w:p>
    <w:p w:rsidR="009265A5" w:rsidRPr="00F935D4" w:rsidRDefault="00EE0555" w:rsidP="0060396A">
      <w:pPr>
        <w:ind w:left="720"/>
        <w:rPr>
          <w:rStyle w:val="Emphasis"/>
          <w:i w:val="0"/>
        </w:rPr>
      </w:pPr>
      <w:r w:rsidRPr="00543FDC">
        <w:rPr>
          <w:rStyle w:val="Emphasis"/>
          <w:i w:val="0"/>
          <w:sz w:val="16"/>
          <w:szCs w:val="16"/>
        </w:rPr>
        <w:t>(Annual a</w:t>
      </w:r>
      <w:r w:rsidR="0060396A">
        <w:rPr>
          <w:rStyle w:val="Emphasis"/>
          <w:i w:val="0"/>
          <w:sz w:val="16"/>
          <w:szCs w:val="16"/>
        </w:rPr>
        <w:t>m</w:t>
      </w:r>
      <w:r w:rsidRPr="00543FDC">
        <w:rPr>
          <w:rStyle w:val="Emphasis"/>
          <w:i w:val="0"/>
          <w:sz w:val="16"/>
          <w:szCs w:val="16"/>
        </w:rPr>
        <w:t>ounts in United States dollars)</w:t>
      </w:r>
      <w:r w:rsidR="00F13E94" w:rsidRPr="00F935D4">
        <w:rPr>
          <w:rStyle w:val="Emphasis"/>
          <w:i w:val="0"/>
        </w:rPr>
        <w:t xml:space="preserve"> </w:t>
      </w:r>
      <w:r w:rsidR="00F13E94" w:rsidRPr="00F935D4">
        <w:rPr>
          <w:rStyle w:val="Emphasis"/>
          <w:i w:val="0"/>
          <w:noProof/>
          <w:lang w:eastAsia="en-GB"/>
        </w:rPr>
        <w:drawing>
          <wp:inline distT="0" distB="0" distL="0" distR="0" wp14:anchorId="47EC29CD" wp14:editId="4A0C66C1">
            <wp:extent cx="4723810" cy="1380952"/>
            <wp:effectExtent l="0" t="0" r="63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723810" cy="1380952"/>
                    </a:xfrm>
                    <a:prstGeom prst="rect">
                      <a:avLst/>
                    </a:prstGeom>
                  </pic:spPr>
                </pic:pic>
              </a:graphicData>
            </a:graphic>
          </wp:inline>
        </w:drawing>
      </w:r>
      <w:r w:rsidR="00F13E94" w:rsidRPr="00F935D4" w:rsidDel="00F13E94">
        <w:rPr>
          <w:rStyle w:val="Emphasis"/>
          <w:i w:val="0"/>
        </w:rPr>
        <w:t xml:space="preserve"> </w:t>
      </w:r>
    </w:p>
    <w:p w:rsidR="009265A5" w:rsidRDefault="009265A5" w:rsidP="00F935D4">
      <w:pPr>
        <w:rPr>
          <w:rStyle w:val="Emphasis"/>
          <w:i w:val="0"/>
        </w:rPr>
      </w:pPr>
    </w:p>
    <w:p w:rsidR="0092400F" w:rsidRDefault="0092400F" w:rsidP="00F935D4">
      <w:pPr>
        <w:rPr>
          <w:rStyle w:val="Emphasis"/>
          <w:i w:val="0"/>
        </w:rPr>
      </w:pPr>
    </w:p>
    <w:p w:rsidR="006B1EA7" w:rsidRDefault="006B1EA7" w:rsidP="00F935D4">
      <w:pPr>
        <w:rPr>
          <w:rStyle w:val="Emphasis"/>
          <w:i w:val="0"/>
        </w:rPr>
      </w:pPr>
    </w:p>
    <w:p w:rsidR="006B1EA7" w:rsidRDefault="006B1EA7" w:rsidP="00F935D4">
      <w:pPr>
        <w:rPr>
          <w:rStyle w:val="Emphasis"/>
          <w:i w:val="0"/>
        </w:rPr>
      </w:pPr>
    </w:p>
    <w:p w:rsidR="006B1EA7" w:rsidRDefault="006B1EA7" w:rsidP="00F935D4">
      <w:pPr>
        <w:rPr>
          <w:rStyle w:val="Emphasis"/>
          <w:i w:val="0"/>
        </w:rPr>
      </w:pPr>
    </w:p>
    <w:p w:rsidR="0092400F" w:rsidRDefault="0092400F" w:rsidP="00F935D4">
      <w:pPr>
        <w:rPr>
          <w:rStyle w:val="Emphasis"/>
          <w:i w:val="0"/>
        </w:rPr>
      </w:pPr>
    </w:p>
    <w:p w:rsidR="0092400F" w:rsidRPr="00F935D4" w:rsidRDefault="0092400F" w:rsidP="00F935D4">
      <w:pPr>
        <w:rPr>
          <w:rStyle w:val="Emphasis"/>
          <w:i w:val="0"/>
        </w:rPr>
      </w:pPr>
    </w:p>
    <w:p w:rsidR="00237342" w:rsidRPr="0060396A" w:rsidRDefault="00237342" w:rsidP="00543FDC">
      <w:pPr>
        <w:ind w:left="720"/>
        <w:rPr>
          <w:rStyle w:val="Emphasis"/>
          <w:b/>
        </w:rPr>
      </w:pPr>
      <w:r w:rsidRPr="0060396A">
        <w:rPr>
          <w:rStyle w:val="Emphasis"/>
          <w:b/>
        </w:rPr>
        <w:lastRenderedPageBreak/>
        <w:t>Change in hardship classification</w:t>
      </w:r>
    </w:p>
    <w:p w:rsidR="00237342" w:rsidRPr="00F935D4" w:rsidRDefault="00237342" w:rsidP="00F935D4">
      <w:pPr>
        <w:rPr>
          <w:rStyle w:val="Emphasis"/>
          <w:i w:val="0"/>
        </w:rPr>
      </w:pPr>
    </w:p>
    <w:p w:rsidR="00237342" w:rsidRPr="00F935D4" w:rsidRDefault="00237342" w:rsidP="0092400F">
      <w:pPr>
        <w:pStyle w:val="ListParagraph"/>
        <w:numPr>
          <w:ilvl w:val="0"/>
          <w:numId w:val="19"/>
        </w:numPr>
        <w:tabs>
          <w:tab w:val="left" w:pos="720"/>
        </w:tabs>
        <w:ind w:firstLine="0"/>
        <w:rPr>
          <w:rStyle w:val="Emphasis"/>
          <w:i w:val="0"/>
        </w:rPr>
      </w:pPr>
      <w:r w:rsidRPr="00F935D4">
        <w:rPr>
          <w:rStyle w:val="Emphasis"/>
          <w:i w:val="0"/>
        </w:rPr>
        <w:t xml:space="preserve">Where a change in the hardship classification of a duty station is made by the ICSC, the amount of the hardship allowance shall be adjusted accordingly either upwards or downwards or discontinued in the case of a change to a hardship classification of A or H. Changes in the hardship classification are implemented as of the effective date of the new hardship </w:t>
      </w:r>
      <w:r w:rsidR="00FC6D1C" w:rsidRPr="00F935D4">
        <w:rPr>
          <w:rStyle w:val="Emphasis"/>
          <w:i w:val="0"/>
        </w:rPr>
        <w:t xml:space="preserve">classification </w:t>
      </w:r>
      <w:r w:rsidRPr="00F935D4">
        <w:rPr>
          <w:rStyle w:val="Emphasis"/>
          <w:i w:val="0"/>
        </w:rPr>
        <w:t xml:space="preserve">as approved by the ICSC.  </w:t>
      </w:r>
    </w:p>
    <w:p w:rsidR="00237342" w:rsidRPr="00F935D4" w:rsidRDefault="00237342" w:rsidP="0092400F">
      <w:pPr>
        <w:tabs>
          <w:tab w:val="left" w:pos="720"/>
        </w:tabs>
        <w:ind w:left="360"/>
        <w:rPr>
          <w:rStyle w:val="Emphasis"/>
          <w:i w:val="0"/>
        </w:rPr>
      </w:pPr>
    </w:p>
    <w:p w:rsidR="00237342" w:rsidRPr="00F935D4" w:rsidRDefault="00237342" w:rsidP="0092400F">
      <w:pPr>
        <w:pStyle w:val="ListParagraph"/>
        <w:numPr>
          <w:ilvl w:val="0"/>
          <w:numId w:val="19"/>
        </w:numPr>
        <w:tabs>
          <w:tab w:val="left" w:pos="720"/>
        </w:tabs>
        <w:ind w:firstLine="0"/>
        <w:rPr>
          <w:rStyle w:val="Emphasis"/>
          <w:i w:val="0"/>
        </w:rPr>
      </w:pPr>
      <w:r w:rsidRPr="00F935D4">
        <w:rPr>
          <w:rStyle w:val="Emphasis"/>
          <w:i w:val="0"/>
        </w:rPr>
        <w:t xml:space="preserve">Where a change in the grade level of a staff member occurs, it may result in an adjustment of the hardship allowance provided the change in level results in a move to a different level grouping as reflected in the table above.  A change in grade level as a result of a promotion, temporary promotion, special post allowance, temporary grade or demotion that results in a different level grouping as per the table above shall trigger an adjustment in the amount of the hardship allowance.  Typically such </w:t>
      </w:r>
      <w:r w:rsidR="00C20673" w:rsidRPr="00F935D4">
        <w:rPr>
          <w:rStyle w:val="Emphasis"/>
          <w:i w:val="0"/>
        </w:rPr>
        <w:t xml:space="preserve">triggers will be </w:t>
      </w:r>
      <w:r w:rsidR="00F441C7" w:rsidRPr="00F935D4">
        <w:rPr>
          <w:rStyle w:val="Emphasis"/>
          <w:i w:val="0"/>
        </w:rPr>
        <w:t xml:space="preserve">a </w:t>
      </w:r>
      <w:r w:rsidR="00C20673" w:rsidRPr="00F935D4">
        <w:rPr>
          <w:rStyle w:val="Emphasis"/>
          <w:i w:val="0"/>
        </w:rPr>
        <w:t xml:space="preserve">change in </w:t>
      </w:r>
      <w:r w:rsidR="00C93B8D" w:rsidRPr="00F935D4">
        <w:rPr>
          <w:rStyle w:val="Emphasis"/>
          <w:i w:val="0"/>
        </w:rPr>
        <w:t xml:space="preserve">grade </w:t>
      </w:r>
      <w:r w:rsidRPr="00F935D4">
        <w:rPr>
          <w:rStyle w:val="Emphasis"/>
          <w:i w:val="0"/>
        </w:rPr>
        <w:t>levels at the P-4, FS-7 and D-1 levels</w:t>
      </w:r>
      <w:r w:rsidR="00C20673" w:rsidRPr="00F935D4">
        <w:rPr>
          <w:rStyle w:val="Emphasis"/>
          <w:i w:val="0"/>
        </w:rPr>
        <w:t xml:space="preserve">. </w:t>
      </w:r>
      <w:r w:rsidRPr="00F935D4">
        <w:rPr>
          <w:rStyle w:val="Emphasis"/>
          <w:i w:val="0"/>
        </w:rPr>
        <w:t xml:space="preserve"> Such adjustments shall be effective as of the date of the </w:t>
      </w:r>
      <w:r w:rsidR="00AB663D" w:rsidRPr="00F935D4">
        <w:rPr>
          <w:rStyle w:val="Emphasis"/>
          <w:i w:val="0"/>
        </w:rPr>
        <w:t>change.</w:t>
      </w:r>
    </w:p>
    <w:p w:rsidR="00237342" w:rsidRPr="00F935D4" w:rsidRDefault="00237342" w:rsidP="00F935D4">
      <w:pPr>
        <w:rPr>
          <w:rStyle w:val="Emphasis"/>
          <w:i w:val="0"/>
        </w:rPr>
      </w:pPr>
    </w:p>
    <w:p w:rsidR="00237342" w:rsidRPr="0016598F" w:rsidRDefault="00F2426B" w:rsidP="00543FDC">
      <w:pPr>
        <w:ind w:left="720"/>
        <w:rPr>
          <w:rStyle w:val="Emphasis"/>
          <w:b/>
        </w:rPr>
      </w:pPr>
      <w:r w:rsidRPr="0016598F">
        <w:rPr>
          <w:rStyle w:val="Emphasis"/>
          <w:b/>
        </w:rPr>
        <w:t>Assignment</w:t>
      </w:r>
      <w:r w:rsidR="00237342" w:rsidRPr="0016598F">
        <w:rPr>
          <w:rStyle w:val="Emphasis"/>
          <w:b/>
        </w:rPr>
        <w:t>/reassignment</w:t>
      </w:r>
      <w:r w:rsidR="00647E3F" w:rsidRPr="0016598F">
        <w:rPr>
          <w:rStyle w:val="Emphasis"/>
          <w:b/>
        </w:rPr>
        <w:t xml:space="preserve"> including </w:t>
      </w:r>
      <w:r w:rsidRPr="0016598F">
        <w:rPr>
          <w:rStyle w:val="Emphasis"/>
          <w:b/>
        </w:rPr>
        <w:t>transfer/secondment/loan</w:t>
      </w:r>
    </w:p>
    <w:p w:rsidR="00237342" w:rsidRPr="00F935D4" w:rsidRDefault="00237342" w:rsidP="00F935D4">
      <w:pPr>
        <w:rPr>
          <w:rStyle w:val="Emphasis"/>
          <w:i w:val="0"/>
        </w:rPr>
      </w:pPr>
    </w:p>
    <w:p w:rsidR="00237342" w:rsidRPr="00F935D4" w:rsidRDefault="00237342" w:rsidP="0092400F">
      <w:pPr>
        <w:pStyle w:val="ListParagraph"/>
        <w:numPr>
          <w:ilvl w:val="0"/>
          <w:numId w:val="19"/>
        </w:numPr>
        <w:tabs>
          <w:tab w:val="left" w:pos="720"/>
        </w:tabs>
        <w:ind w:firstLine="0"/>
        <w:rPr>
          <w:rStyle w:val="Emphasis"/>
          <w:i w:val="0"/>
        </w:rPr>
      </w:pPr>
      <w:r w:rsidRPr="00F935D4">
        <w:rPr>
          <w:rStyle w:val="Emphasis"/>
          <w:i w:val="0"/>
        </w:rPr>
        <w:t xml:space="preserve">A staff member who is </w:t>
      </w:r>
      <w:r w:rsidR="00C93B8D" w:rsidRPr="00F935D4">
        <w:rPr>
          <w:rStyle w:val="Emphasis"/>
          <w:i w:val="0"/>
        </w:rPr>
        <w:t xml:space="preserve">on assignment with payment of post adjustment applicable to the duty station or is </w:t>
      </w:r>
      <w:r w:rsidRPr="00F935D4">
        <w:rPr>
          <w:rStyle w:val="Emphasis"/>
          <w:i w:val="0"/>
        </w:rPr>
        <w:t xml:space="preserve">reassigned </w:t>
      </w:r>
      <w:r w:rsidR="00C93B8D" w:rsidRPr="00F935D4">
        <w:rPr>
          <w:rStyle w:val="Emphasis"/>
          <w:i w:val="0"/>
        </w:rPr>
        <w:t xml:space="preserve">to a </w:t>
      </w:r>
      <w:r w:rsidRPr="00F935D4">
        <w:rPr>
          <w:rStyle w:val="Emphasis"/>
          <w:i w:val="0"/>
        </w:rPr>
        <w:t xml:space="preserve">duty station with a hardship classification of B to E shall be entitled to payment of the corresponding hardship allowance as of the effective date of </w:t>
      </w:r>
      <w:r w:rsidR="00C93B8D" w:rsidRPr="00F935D4">
        <w:rPr>
          <w:rStyle w:val="Emphasis"/>
          <w:i w:val="0"/>
        </w:rPr>
        <w:t>assignment/reassignment</w:t>
      </w:r>
      <w:r w:rsidRPr="00F935D4">
        <w:rPr>
          <w:rStyle w:val="Emphasis"/>
          <w:i w:val="0"/>
        </w:rPr>
        <w:t>.</w:t>
      </w:r>
    </w:p>
    <w:p w:rsidR="00237342" w:rsidRPr="00F935D4" w:rsidRDefault="00237342" w:rsidP="00F935D4">
      <w:pPr>
        <w:rPr>
          <w:rStyle w:val="Emphasis"/>
          <w:i w:val="0"/>
        </w:rPr>
      </w:pPr>
    </w:p>
    <w:p w:rsidR="00237342" w:rsidRPr="0016598F" w:rsidRDefault="00237342" w:rsidP="00F935D4">
      <w:pPr>
        <w:pStyle w:val="ListParagraph"/>
        <w:numPr>
          <w:ilvl w:val="0"/>
          <w:numId w:val="18"/>
        </w:numPr>
        <w:rPr>
          <w:rStyle w:val="Emphasis"/>
          <w:b/>
          <w:i w:val="0"/>
        </w:rPr>
      </w:pPr>
      <w:r w:rsidRPr="0016598F">
        <w:rPr>
          <w:rStyle w:val="Emphasis"/>
          <w:b/>
          <w:i w:val="0"/>
        </w:rPr>
        <w:t>Non-family service allowance</w:t>
      </w:r>
    </w:p>
    <w:p w:rsidR="00237342" w:rsidRPr="00F935D4" w:rsidRDefault="00237342" w:rsidP="00F935D4">
      <w:pPr>
        <w:rPr>
          <w:rStyle w:val="Emphasis"/>
          <w:i w:val="0"/>
        </w:rPr>
      </w:pPr>
    </w:p>
    <w:p w:rsidR="00237342" w:rsidRPr="00F935D4" w:rsidRDefault="00237342" w:rsidP="0092400F">
      <w:pPr>
        <w:pStyle w:val="ListParagraph"/>
        <w:numPr>
          <w:ilvl w:val="0"/>
          <w:numId w:val="19"/>
        </w:numPr>
        <w:tabs>
          <w:tab w:val="left" w:pos="720"/>
        </w:tabs>
        <w:ind w:firstLine="0"/>
        <w:rPr>
          <w:rStyle w:val="Emphasis"/>
          <w:i w:val="0"/>
        </w:rPr>
      </w:pPr>
      <w:r w:rsidRPr="00F935D4">
        <w:rPr>
          <w:rStyle w:val="Emphasis"/>
          <w:i w:val="0"/>
        </w:rPr>
        <w:t xml:space="preserve">Effective 1 July 2016, a non-family service allowance </w:t>
      </w:r>
      <w:r w:rsidR="00AB663D" w:rsidRPr="00F935D4">
        <w:rPr>
          <w:rStyle w:val="Emphasis"/>
          <w:i w:val="0"/>
        </w:rPr>
        <w:t>is payable</w:t>
      </w:r>
      <w:r w:rsidR="00FC6D1C" w:rsidRPr="00F935D4">
        <w:rPr>
          <w:rStyle w:val="Emphasis"/>
          <w:i w:val="0"/>
        </w:rPr>
        <w:t xml:space="preserve"> to </w:t>
      </w:r>
      <w:r w:rsidRPr="00F935D4">
        <w:rPr>
          <w:rStyle w:val="Emphasis"/>
          <w:i w:val="0"/>
        </w:rPr>
        <w:t>staff serving in non-family duty stations.  It replaces the additional non-family hardship allowance which will be payable until 30 June 2016 COB.  The purpose of the non-family service allowance is to compensate for the increased financial and psychological hardship incurred owing to the involuntary separation of staff from families.</w:t>
      </w:r>
      <w:r w:rsidR="00FA13C4" w:rsidRPr="00F935D4">
        <w:rPr>
          <w:rStyle w:val="Emphasis"/>
          <w:i w:val="0"/>
        </w:rPr>
        <w:t xml:space="preserve"> It also acts as an incentive for staff to undertake assignments at non-family duty stations.</w:t>
      </w:r>
    </w:p>
    <w:p w:rsidR="00237342" w:rsidRPr="00F935D4" w:rsidRDefault="00237342" w:rsidP="00F935D4">
      <w:pPr>
        <w:rPr>
          <w:rStyle w:val="Emphasis"/>
          <w:i w:val="0"/>
        </w:rPr>
      </w:pPr>
    </w:p>
    <w:p w:rsidR="00237342" w:rsidRPr="0016598F" w:rsidRDefault="00237342" w:rsidP="00543FDC">
      <w:pPr>
        <w:ind w:left="720"/>
        <w:rPr>
          <w:rStyle w:val="Emphasis"/>
          <w:b/>
        </w:rPr>
      </w:pPr>
      <w:r w:rsidRPr="0016598F">
        <w:rPr>
          <w:rStyle w:val="Emphasis"/>
          <w:b/>
        </w:rPr>
        <w:t>Eligibility</w:t>
      </w:r>
    </w:p>
    <w:p w:rsidR="00237342" w:rsidRPr="00F935D4" w:rsidRDefault="00237342" w:rsidP="00F935D4">
      <w:pPr>
        <w:rPr>
          <w:rStyle w:val="Emphasis"/>
          <w:i w:val="0"/>
        </w:rPr>
      </w:pPr>
    </w:p>
    <w:p w:rsidR="00237342" w:rsidRPr="00F935D4" w:rsidRDefault="00237342" w:rsidP="0092400F">
      <w:pPr>
        <w:pStyle w:val="ListParagraph"/>
        <w:numPr>
          <w:ilvl w:val="0"/>
          <w:numId w:val="19"/>
        </w:numPr>
        <w:tabs>
          <w:tab w:val="left" w:pos="720"/>
        </w:tabs>
        <w:ind w:firstLine="0"/>
        <w:rPr>
          <w:rStyle w:val="Emphasis"/>
          <w:i w:val="0"/>
        </w:rPr>
      </w:pPr>
      <w:r w:rsidRPr="00F935D4">
        <w:rPr>
          <w:rStyle w:val="Emphasis"/>
          <w:i w:val="0"/>
        </w:rPr>
        <w:t xml:space="preserve">The non-family service allowance is payable to staff members in the professional and higher categories and field service category </w:t>
      </w:r>
      <w:r w:rsidR="00A8465A">
        <w:rPr>
          <w:rStyle w:val="Emphasis"/>
          <w:i w:val="0"/>
        </w:rPr>
        <w:t xml:space="preserve">and internationally recruited general service staff </w:t>
      </w:r>
      <w:r w:rsidRPr="00F935D4">
        <w:rPr>
          <w:rStyle w:val="Emphasis"/>
          <w:i w:val="0"/>
        </w:rPr>
        <w:t>holding a fixed-term, continuing, permanent or temporary appointment and appointed/assigned to a duty station designated as non-family by the Chairman of the ICSC.  The non-family service allowance is payable irrespective of the duration of the appointment/assignment in the duty station designated as non-family.  A staff member on travel status and in receipt of daily subsistence allowance is not eligible for payment of the non-family service allowance for the duty station of the temporary assignment.  However, the staff member may continue to be eligible for payment of the non-family service allowance if he/she is entitled to the allowance on account of the parent duty station being designated as a non-family duty station.</w:t>
      </w:r>
    </w:p>
    <w:p w:rsidR="00237342" w:rsidRPr="00F935D4" w:rsidRDefault="00237342" w:rsidP="00F935D4">
      <w:pPr>
        <w:rPr>
          <w:rStyle w:val="Emphasis"/>
          <w:i w:val="0"/>
        </w:rPr>
      </w:pPr>
    </w:p>
    <w:p w:rsidR="00237342" w:rsidRPr="0016598F" w:rsidRDefault="00237342" w:rsidP="00543FDC">
      <w:pPr>
        <w:ind w:left="720"/>
        <w:rPr>
          <w:rStyle w:val="Emphasis"/>
          <w:b/>
        </w:rPr>
      </w:pPr>
      <w:r w:rsidRPr="0016598F">
        <w:rPr>
          <w:rStyle w:val="Emphasis"/>
          <w:b/>
        </w:rPr>
        <w:t>Amount of the allowance</w:t>
      </w:r>
    </w:p>
    <w:p w:rsidR="00237342" w:rsidRPr="00F935D4" w:rsidRDefault="00237342" w:rsidP="00F935D4">
      <w:pPr>
        <w:rPr>
          <w:rStyle w:val="Emphasis"/>
          <w:i w:val="0"/>
        </w:rPr>
      </w:pPr>
    </w:p>
    <w:p w:rsidR="00237342" w:rsidRPr="00F935D4" w:rsidRDefault="00237342" w:rsidP="0092400F">
      <w:pPr>
        <w:pStyle w:val="ListParagraph"/>
        <w:numPr>
          <w:ilvl w:val="0"/>
          <w:numId w:val="19"/>
        </w:numPr>
        <w:tabs>
          <w:tab w:val="left" w:pos="720"/>
        </w:tabs>
        <w:ind w:firstLine="0"/>
        <w:rPr>
          <w:rStyle w:val="Emphasis"/>
          <w:i w:val="0"/>
        </w:rPr>
      </w:pPr>
      <w:r w:rsidRPr="00F935D4">
        <w:rPr>
          <w:rStyle w:val="Emphasis"/>
          <w:i w:val="0"/>
        </w:rPr>
        <w:t>The amount of the non-family service allowance is differentiated by recognised family status with an amount for staff with dependents and a different amount for staff without dependents.  Unlike the additional non-family hardship allowance, the amount of the non-family service allowance makes no differentiation based on grade level.</w:t>
      </w:r>
    </w:p>
    <w:p w:rsidR="00526302" w:rsidRPr="00F935D4" w:rsidRDefault="00526302" w:rsidP="00F935D4">
      <w:pPr>
        <w:rPr>
          <w:rStyle w:val="Emphasis"/>
          <w:i w:val="0"/>
        </w:rPr>
      </w:pPr>
    </w:p>
    <w:p w:rsidR="00237342" w:rsidRPr="00543FDC" w:rsidRDefault="00526302" w:rsidP="0060396A">
      <w:pPr>
        <w:ind w:left="720"/>
        <w:rPr>
          <w:rStyle w:val="Emphasis"/>
          <w:i w:val="0"/>
          <w:sz w:val="16"/>
          <w:szCs w:val="16"/>
        </w:rPr>
      </w:pPr>
      <w:r w:rsidRPr="00543FDC">
        <w:rPr>
          <w:rStyle w:val="Emphasis"/>
          <w:i w:val="0"/>
          <w:sz w:val="16"/>
          <w:szCs w:val="16"/>
        </w:rPr>
        <w:t>Non-family service allowance</w:t>
      </w:r>
      <w:r w:rsidR="00C93B8D" w:rsidRPr="00543FDC">
        <w:rPr>
          <w:rStyle w:val="Emphasis"/>
          <w:i w:val="0"/>
          <w:sz w:val="16"/>
          <w:szCs w:val="16"/>
        </w:rPr>
        <w:t xml:space="preserve"> effective 1 July 2016</w:t>
      </w:r>
    </w:p>
    <w:p w:rsidR="00EE0555" w:rsidRPr="00F935D4" w:rsidRDefault="00EE0555" w:rsidP="0060396A">
      <w:pPr>
        <w:ind w:left="720"/>
        <w:rPr>
          <w:rStyle w:val="Emphasis"/>
          <w:i w:val="0"/>
        </w:rPr>
      </w:pPr>
      <w:r w:rsidRPr="00543FDC">
        <w:rPr>
          <w:rStyle w:val="Emphasis"/>
          <w:i w:val="0"/>
          <w:sz w:val="16"/>
          <w:szCs w:val="16"/>
        </w:rPr>
        <w:t>(Annual amounts in United States dollars)</w:t>
      </w:r>
    </w:p>
    <w:p w:rsidR="00237342" w:rsidRPr="00F935D4" w:rsidRDefault="00EE0555" w:rsidP="0060396A">
      <w:pPr>
        <w:ind w:firstLine="720"/>
        <w:rPr>
          <w:rStyle w:val="Emphasis"/>
          <w:i w:val="0"/>
        </w:rPr>
      </w:pPr>
      <w:r w:rsidRPr="00F935D4">
        <w:rPr>
          <w:rStyle w:val="Emphasis"/>
          <w:i w:val="0"/>
          <w:noProof/>
          <w:lang w:eastAsia="en-GB"/>
        </w:rPr>
        <w:drawing>
          <wp:inline distT="0" distB="0" distL="0" distR="0" wp14:anchorId="58CEC650" wp14:editId="0F9AE0DA">
            <wp:extent cx="4200000" cy="428571"/>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4200000" cy="428571"/>
                    </a:xfrm>
                    <a:prstGeom prst="rect">
                      <a:avLst/>
                    </a:prstGeom>
                  </pic:spPr>
                </pic:pic>
              </a:graphicData>
            </a:graphic>
          </wp:inline>
        </w:drawing>
      </w:r>
    </w:p>
    <w:p w:rsidR="00237342" w:rsidRPr="00F935D4" w:rsidRDefault="00237342" w:rsidP="00F935D4">
      <w:pPr>
        <w:rPr>
          <w:rStyle w:val="Emphasis"/>
          <w:i w:val="0"/>
        </w:rPr>
      </w:pPr>
    </w:p>
    <w:p w:rsidR="00237342" w:rsidRPr="0016598F" w:rsidRDefault="00237342" w:rsidP="00543FDC">
      <w:pPr>
        <w:ind w:left="720"/>
        <w:rPr>
          <w:rStyle w:val="Emphasis"/>
          <w:b/>
        </w:rPr>
      </w:pPr>
      <w:r w:rsidRPr="0016598F">
        <w:rPr>
          <w:rStyle w:val="Emphasis"/>
          <w:b/>
        </w:rPr>
        <w:t>Staff members married to each other</w:t>
      </w:r>
    </w:p>
    <w:p w:rsidR="00237342" w:rsidRPr="00F935D4" w:rsidRDefault="00237342" w:rsidP="00F935D4">
      <w:pPr>
        <w:rPr>
          <w:rStyle w:val="Emphasis"/>
          <w:i w:val="0"/>
        </w:rPr>
      </w:pPr>
    </w:p>
    <w:p w:rsidR="00237342" w:rsidRPr="00F935D4" w:rsidRDefault="00237342" w:rsidP="0092400F">
      <w:pPr>
        <w:pStyle w:val="ListParagraph"/>
        <w:numPr>
          <w:ilvl w:val="0"/>
          <w:numId w:val="19"/>
        </w:numPr>
        <w:tabs>
          <w:tab w:val="left" w:pos="720"/>
        </w:tabs>
        <w:ind w:firstLine="0"/>
        <w:rPr>
          <w:rStyle w:val="Emphasis"/>
          <w:i w:val="0"/>
        </w:rPr>
      </w:pPr>
      <w:r w:rsidRPr="00F935D4">
        <w:rPr>
          <w:rStyle w:val="Emphasis"/>
          <w:i w:val="0"/>
        </w:rPr>
        <w:t>Where two eligible staff members are married to each other, including in another Organisation of the United Nations common system and both are assigned to a non-family duty station, each will be paid the non-family service allowance at the rate for staff members without dependents.  If there are one or more dependent children, the allowance will be paid at the rate for staff members with dependents to the staff member in respect of whom the child or children are recognized as dependants.</w:t>
      </w:r>
    </w:p>
    <w:p w:rsidR="00237342" w:rsidRPr="00F935D4" w:rsidRDefault="00237342" w:rsidP="0092400F">
      <w:pPr>
        <w:tabs>
          <w:tab w:val="left" w:pos="720"/>
        </w:tabs>
        <w:ind w:left="360"/>
        <w:rPr>
          <w:rStyle w:val="Emphasis"/>
          <w:i w:val="0"/>
        </w:rPr>
      </w:pPr>
    </w:p>
    <w:p w:rsidR="00237342" w:rsidRPr="00F935D4" w:rsidRDefault="00237342" w:rsidP="0092400F">
      <w:pPr>
        <w:pStyle w:val="ListParagraph"/>
        <w:numPr>
          <w:ilvl w:val="0"/>
          <w:numId w:val="19"/>
        </w:numPr>
        <w:tabs>
          <w:tab w:val="left" w:pos="720"/>
        </w:tabs>
        <w:ind w:firstLine="0"/>
        <w:rPr>
          <w:rStyle w:val="Emphasis"/>
          <w:i w:val="0"/>
        </w:rPr>
      </w:pPr>
      <w:r w:rsidRPr="00F935D4">
        <w:rPr>
          <w:rStyle w:val="Emphasis"/>
          <w:i w:val="0"/>
        </w:rPr>
        <w:t xml:space="preserve">The non-family service allowance will be payable in cases where an eligible staff member’s spouse is </w:t>
      </w:r>
      <w:r w:rsidR="00385BB0" w:rsidRPr="00F935D4">
        <w:rPr>
          <w:rStyle w:val="Emphasis"/>
          <w:i w:val="0"/>
        </w:rPr>
        <w:t xml:space="preserve">employed by a non-UN entity and </w:t>
      </w:r>
      <w:r w:rsidRPr="00F935D4">
        <w:rPr>
          <w:rStyle w:val="Emphasis"/>
          <w:i w:val="0"/>
        </w:rPr>
        <w:t xml:space="preserve">working at the duty station.  However, such staff will not be eligible for initial travel, </w:t>
      </w:r>
      <w:r w:rsidR="00BB0EBA">
        <w:rPr>
          <w:rStyle w:val="Emphasis"/>
          <w:i w:val="0"/>
        </w:rPr>
        <w:t xml:space="preserve">DSA and shipment of effects to duty station in respect of spouse, </w:t>
      </w:r>
      <w:r w:rsidRPr="00F935D4">
        <w:rPr>
          <w:rStyle w:val="Emphasis"/>
          <w:i w:val="0"/>
        </w:rPr>
        <w:t>home leave travel or other related entitlements in respect of his/her spouse.</w:t>
      </w:r>
    </w:p>
    <w:p w:rsidR="00237342" w:rsidRPr="00F935D4" w:rsidRDefault="00237342" w:rsidP="00F935D4">
      <w:pPr>
        <w:rPr>
          <w:rStyle w:val="Emphasis"/>
          <w:i w:val="0"/>
        </w:rPr>
      </w:pPr>
    </w:p>
    <w:p w:rsidR="00237342" w:rsidRPr="0016598F" w:rsidRDefault="00237342" w:rsidP="00543FDC">
      <w:pPr>
        <w:ind w:left="720"/>
        <w:rPr>
          <w:rStyle w:val="Emphasis"/>
          <w:b/>
        </w:rPr>
      </w:pPr>
      <w:r w:rsidRPr="0016598F">
        <w:rPr>
          <w:rStyle w:val="Emphasis"/>
          <w:b/>
        </w:rPr>
        <w:t>Discontinuation of the allowance</w:t>
      </w:r>
    </w:p>
    <w:p w:rsidR="00237342" w:rsidRPr="00F935D4" w:rsidRDefault="00237342" w:rsidP="00F935D4">
      <w:pPr>
        <w:rPr>
          <w:rStyle w:val="Emphasis"/>
          <w:i w:val="0"/>
        </w:rPr>
      </w:pPr>
    </w:p>
    <w:p w:rsidR="00237342" w:rsidRPr="00F935D4" w:rsidRDefault="00237342" w:rsidP="00A01CA9">
      <w:pPr>
        <w:pStyle w:val="ListParagraph"/>
        <w:numPr>
          <w:ilvl w:val="0"/>
          <w:numId w:val="19"/>
        </w:numPr>
        <w:tabs>
          <w:tab w:val="left" w:pos="720"/>
        </w:tabs>
        <w:ind w:firstLine="0"/>
        <w:rPr>
          <w:rStyle w:val="Emphasis"/>
          <w:i w:val="0"/>
        </w:rPr>
      </w:pPr>
      <w:r w:rsidRPr="00F935D4">
        <w:rPr>
          <w:rStyle w:val="Emphasis"/>
          <w:i w:val="0"/>
        </w:rPr>
        <w:t xml:space="preserve">Payment of the non-family service allowance shall be </w:t>
      </w:r>
      <w:r w:rsidR="00C864CA" w:rsidRPr="00F935D4">
        <w:rPr>
          <w:rStyle w:val="Emphasis"/>
          <w:i w:val="0"/>
        </w:rPr>
        <w:t xml:space="preserve">suspended </w:t>
      </w:r>
      <w:r w:rsidRPr="00F935D4">
        <w:rPr>
          <w:rStyle w:val="Emphasis"/>
          <w:i w:val="0"/>
        </w:rPr>
        <w:t xml:space="preserve">for </w:t>
      </w:r>
      <w:r w:rsidR="00C864CA" w:rsidRPr="00F935D4">
        <w:rPr>
          <w:rStyle w:val="Emphasis"/>
          <w:i w:val="0"/>
        </w:rPr>
        <w:t xml:space="preserve">the duration of the </w:t>
      </w:r>
      <w:r w:rsidRPr="00F935D4">
        <w:rPr>
          <w:rStyle w:val="Emphasis"/>
          <w:i w:val="0"/>
        </w:rPr>
        <w:t xml:space="preserve">presence of a staff member’s eligible dependents in a non-family duty station regardless of the duration of the presence and irrespective of whether the presence of the eligible dependents in the non-family duty station has been exceptionally authorised by the Under-Secretary-General for Safety and Security on behalf of the Secretary-General. Similarly, the non-family service allowance shall be </w:t>
      </w:r>
      <w:r w:rsidR="00C864CA" w:rsidRPr="00F935D4">
        <w:rPr>
          <w:rStyle w:val="Emphasis"/>
          <w:i w:val="0"/>
        </w:rPr>
        <w:t xml:space="preserve">suspended </w:t>
      </w:r>
      <w:r w:rsidRPr="00F935D4">
        <w:rPr>
          <w:rStyle w:val="Emphasis"/>
          <w:i w:val="0"/>
        </w:rPr>
        <w:t>for the</w:t>
      </w:r>
      <w:r w:rsidR="00C864CA" w:rsidRPr="00F935D4">
        <w:rPr>
          <w:rStyle w:val="Emphasis"/>
          <w:i w:val="0"/>
        </w:rPr>
        <w:t xml:space="preserve"> duration of the</w:t>
      </w:r>
      <w:r w:rsidRPr="00F935D4">
        <w:rPr>
          <w:rStyle w:val="Emphasis"/>
          <w:i w:val="0"/>
        </w:rPr>
        <w:t xml:space="preserve"> presence of eligible dependents in the duty station who are nationals of the country of the duty station.</w:t>
      </w:r>
    </w:p>
    <w:p w:rsidR="00237342" w:rsidRPr="00F935D4" w:rsidRDefault="00237342" w:rsidP="00A01CA9">
      <w:pPr>
        <w:tabs>
          <w:tab w:val="left" w:pos="720"/>
        </w:tabs>
        <w:ind w:left="360"/>
        <w:rPr>
          <w:rStyle w:val="Emphasis"/>
          <w:i w:val="0"/>
        </w:rPr>
      </w:pPr>
    </w:p>
    <w:p w:rsidR="00F935D4" w:rsidRDefault="00237342" w:rsidP="00A01CA9">
      <w:pPr>
        <w:pStyle w:val="ListParagraph"/>
        <w:numPr>
          <w:ilvl w:val="0"/>
          <w:numId w:val="19"/>
        </w:numPr>
        <w:tabs>
          <w:tab w:val="left" w:pos="720"/>
        </w:tabs>
        <w:ind w:firstLine="0"/>
        <w:rPr>
          <w:rStyle w:val="Emphasis"/>
          <w:i w:val="0"/>
        </w:rPr>
      </w:pPr>
      <w:r w:rsidRPr="00F935D4">
        <w:rPr>
          <w:rStyle w:val="Emphasis"/>
          <w:i w:val="0"/>
        </w:rPr>
        <w:t>Payment of the non-family service allowance shall be discontinued upon a change in the status of a duty station from non-family to family</w:t>
      </w:r>
      <w:r w:rsidR="00A12985" w:rsidRPr="00F935D4">
        <w:rPr>
          <w:rStyle w:val="Emphasis"/>
          <w:i w:val="0"/>
        </w:rPr>
        <w:t>, subject to any transitional arrangements that may be authorised by the Office of Human Resources Management</w:t>
      </w:r>
      <w:r w:rsidRPr="00F935D4">
        <w:rPr>
          <w:rStyle w:val="Emphasis"/>
          <w:i w:val="0"/>
        </w:rPr>
        <w:t xml:space="preserve"> or upon reassignment of a staff member from a non-family to a family </w:t>
      </w:r>
      <w:r w:rsidR="00A12985" w:rsidRPr="00F935D4">
        <w:rPr>
          <w:rStyle w:val="Emphasis"/>
          <w:i w:val="0"/>
        </w:rPr>
        <w:t>duty station.</w:t>
      </w:r>
    </w:p>
    <w:p w:rsidR="00F935D4" w:rsidRPr="00F935D4" w:rsidRDefault="00F935D4" w:rsidP="00A01CA9">
      <w:pPr>
        <w:pStyle w:val="ListParagraph"/>
        <w:tabs>
          <w:tab w:val="left" w:pos="720"/>
        </w:tabs>
        <w:ind w:left="360"/>
        <w:rPr>
          <w:rStyle w:val="Emphasis"/>
          <w:i w:val="0"/>
        </w:rPr>
      </w:pPr>
    </w:p>
    <w:p w:rsidR="00237342" w:rsidRPr="0016598F" w:rsidRDefault="00651B04" w:rsidP="00F935D4">
      <w:pPr>
        <w:pStyle w:val="ListParagraph"/>
        <w:numPr>
          <w:ilvl w:val="0"/>
          <w:numId w:val="18"/>
        </w:numPr>
        <w:rPr>
          <w:rStyle w:val="Emphasis"/>
          <w:b/>
          <w:i w:val="0"/>
        </w:rPr>
      </w:pPr>
      <w:r w:rsidRPr="0016598F">
        <w:rPr>
          <w:rStyle w:val="Emphasis"/>
          <w:b/>
          <w:i w:val="0"/>
        </w:rPr>
        <w:t>Mobility Incentive</w:t>
      </w:r>
    </w:p>
    <w:p w:rsidR="00A95093" w:rsidRPr="00F935D4" w:rsidRDefault="00A95093" w:rsidP="00F935D4">
      <w:pPr>
        <w:rPr>
          <w:rStyle w:val="Emphasis"/>
          <w:i w:val="0"/>
        </w:rPr>
      </w:pPr>
    </w:p>
    <w:p w:rsidR="008E3DEE" w:rsidRPr="00F935D4" w:rsidRDefault="00A95093" w:rsidP="00A01CA9">
      <w:pPr>
        <w:pStyle w:val="ListParagraph"/>
        <w:numPr>
          <w:ilvl w:val="0"/>
          <w:numId w:val="19"/>
        </w:numPr>
        <w:tabs>
          <w:tab w:val="left" w:pos="720"/>
        </w:tabs>
        <w:ind w:firstLine="0"/>
        <w:rPr>
          <w:rStyle w:val="Emphasis"/>
          <w:i w:val="0"/>
        </w:rPr>
      </w:pPr>
      <w:r w:rsidRPr="00F935D4">
        <w:rPr>
          <w:rStyle w:val="Emphasis"/>
          <w:i w:val="0"/>
        </w:rPr>
        <w:t xml:space="preserve">Effective 1 July 2016, a new mobility incentive is introduced.  It replaces the </w:t>
      </w:r>
      <w:r w:rsidR="00ED5367" w:rsidRPr="00F935D4">
        <w:rPr>
          <w:rStyle w:val="Emphasis"/>
          <w:i w:val="0"/>
        </w:rPr>
        <w:t xml:space="preserve">mobility allowance which </w:t>
      </w:r>
      <w:r w:rsidR="0048028B" w:rsidRPr="00F935D4">
        <w:rPr>
          <w:rStyle w:val="Emphasis"/>
          <w:i w:val="0"/>
        </w:rPr>
        <w:t xml:space="preserve">may be </w:t>
      </w:r>
      <w:r w:rsidRPr="00F935D4">
        <w:rPr>
          <w:rStyle w:val="Emphasis"/>
          <w:i w:val="0"/>
        </w:rPr>
        <w:t>payable to eligible staff members until 30 June 2016.</w:t>
      </w:r>
      <w:r w:rsidR="00010858" w:rsidRPr="00F935D4">
        <w:rPr>
          <w:rStyle w:val="Emphasis"/>
          <w:i w:val="0"/>
        </w:rPr>
        <w:t xml:space="preserve">  The new mobility incentive will be implemented on 1 November 2016 with an effective date of </w:t>
      </w:r>
      <w:r w:rsidR="004C6D4C" w:rsidRPr="00F935D4">
        <w:rPr>
          <w:rStyle w:val="Emphasis"/>
          <w:i w:val="0"/>
        </w:rPr>
        <w:t xml:space="preserve">1 July </w:t>
      </w:r>
      <w:r w:rsidR="004C6D4C" w:rsidRPr="00F935D4">
        <w:rPr>
          <w:rStyle w:val="Emphasis"/>
          <w:i w:val="0"/>
        </w:rPr>
        <w:lastRenderedPageBreak/>
        <w:t>2016.</w:t>
      </w:r>
      <w:r w:rsidR="008E3DEE" w:rsidRPr="00F935D4">
        <w:rPr>
          <w:rStyle w:val="Emphasis"/>
          <w:i w:val="0"/>
        </w:rPr>
        <w:t xml:space="preserve">  Staff members who meet the eligibility </w:t>
      </w:r>
      <w:r w:rsidR="00AB663D" w:rsidRPr="00F935D4">
        <w:rPr>
          <w:rStyle w:val="Emphasis"/>
          <w:i w:val="0"/>
        </w:rPr>
        <w:t>requirements on</w:t>
      </w:r>
      <w:r w:rsidR="008E3DEE" w:rsidRPr="00F935D4">
        <w:rPr>
          <w:rStyle w:val="Emphasis"/>
          <w:i w:val="0"/>
        </w:rPr>
        <w:t xml:space="preserve"> or after 1 July 2016 will be eligible for payment of a mobility incentive.</w:t>
      </w:r>
    </w:p>
    <w:p w:rsidR="00A95093" w:rsidRPr="00F935D4" w:rsidRDefault="008E3DEE" w:rsidP="00F935D4">
      <w:pPr>
        <w:rPr>
          <w:rStyle w:val="Emphasis"/>
          <w:i w:val="0"/>
        </w:rPr>
      </w:pPr>
      <w:r w:rsidRPr="00F935D4">
        <w:rPr>
          <w:rStyle w:val="Emphasis"/>
          <w:i w:val="0"/>
        </w:rPr>
        <w:t xml:space="preserve"> </w:t>
      </w:r>
    </w:p>
    <w:p w:rsidR="00A95093" w:rsidRPr="0016598F" w:rsidRDefault="00A95093" w:rsidP="00543FDC">
      <w:pPr>
        <w:ind w:left="720"/>
        <w:rPr>
          <w:rStyle w:val="Emphasis"/>
          <w:b/>
        </w:rPr>
      </w:pPr>
      <w:r w:rsidRPr="0016598F">
        <w:rPr>
          <w:rStyle w:val="Emphasis"/>
          <w:b/>
        </w:rPr>
        <w:t>Eligibility</w:t>
      </w:r>
    </w:p>
    <w:p w:rsidR="00A95093" w:rsidRPr="00F935D4" w:rsidRDefault="00A95093" w:rsidP="00F935D4">
      <w:pPr>
        <w:rPr>
          <w:rStyle w:val="Emphasis"/>
          <w:i w:val="0"/>
        </w:rPr>
      </w:pPr>
    </w:p>
    <w:p w:rsidR="00A95093" w:rsidRPr="00F935D4" w:rsidRDefault="00A95093" w:rsidP="00A01CA9">
      <w:pPr>
        <w:pStyle w:val="ListParagraph"/>
        <w:numPr>
          <w:ilvl w:val="0"/>
          <w:numId w:val="19"/>
        </w:numPr>
        <w:tabs>
          <w:tab w:val="left" w:pos="720"/>
        </w:tabs>
        <w:ind w:firstLine="0"/>
        <w:rPr>
          <w:rStyle w:val="Emphasis"/>
          <w:i w:val="0"/>
        </w:rPr>
      </w:pPr>
      <w:r w:rsidRPr="00F935D4">
        <w:rPr>
          <w:rStyle w:val="Emphasis"/>
          <w:i w:val="0"/>
        </w:rPr>
        <w:t>The mobility incentive is payable to staff members in the professional and higher categories, field service and international</w:t>
      </w:r>
      <w:r w:rsidR="00A8465A">
        <w:rPr>
          <w:rStyle w:val="Emphasis"/>
          <w:i w:val="0"/>
        </w:rPr>
        <w:t>ly</w:t>
      </w:r>
      <w:r w:rsidRPr="00F935D4">
        <w:rPr>
          <w:rStyle w:val="Emphasis"/>
          <w:i w:val="0"/>
        </w:rPr>
        <w:t xml:space="preserve"> recruited General Service staff appointed/assigned to a duty station classified as A to E for a period of one year or longer and </w:t>
      </w:r>
      <w:r w:rsidR="00BB0EBA">
        <w:rPr>
          <w:rStyle w:val="Emphasis"/>
          <w:i w:val="0"/>
        </w:rPr>
        <w:t xml:space="preserve">who </w:t>
      </w:r>
      <w:r w:rsidRPr="00F935D4">
        <w:rPr>
          <w:rStyle w:val="Emphasis"/>
          <w:i w:val="0"/>
        </w:rPr>
        <w:t>meet the following conditions:</w:t>
      </w:r>
    </w:p>
    <w:p w:rsidR="004C6D4C" w:rsidRPr="00F935D4" w:rsidRDefault="004C6D4C" w:rsidP="00F935D4">
      <w:pPr>
        <w:rPr>
          <w:rStyle w:val="Emphasis"/>
          <w:i w:val="0"/>
        </w:rPr>
      </w:pPr>
    </w:p>
    <w:p w:rsidR="004C6D4C" w:rsidRPr="00F935D4" w:rsidRDefault="004C6D4C" w:rsidP="0092400F">
      <w:pPr>
        <w:pStyle w:val="ListParagraph"/>
        <w:numPr>
          <w:ilvl w:val="0"/>
          <w:numId w:val="21"/>
        </w:numPr>
        <w:ind w:firstLine="0"/>
        <w:rPr>
          <w:rStyle w:val="Emphasis"/>
          <w:i w:val="0"/>
        </w:rPr>
      </w:pPr>
      <w:r w:rsidRPr="00F935D4">
        <w:rPr>
          <w:rStyle w:val="Emphasis"/>
          <w:i w:val="0"/>
        </w:rPr>
        <w:t>The staff member must have five years of prior continuous service on a fixed-term, continuing or permanent appointment as a staff member in the United Nations or another Organisation of the United Nations Common System;</w:t>
      </w:r>
    </w:p>
    <w:p w:rsidR="004C6D4C" w:rsidRPr="00F935D4" w:rsidRDefault="004C6D4C" w:rsidP="0092400F">
      <w:pPr>
        <w:pStyle w:val="ListParagraph"/>
        <w:numPr>
          <w:ilvl w:val="0"/>
          <w:numId w:val="21"/>
        </w:numPr>
        <w:ind w:firstLine="0"/>
        <w:rPr>
          <w:rStyle w:val="Emphasis"/>
          <w:i w:val="0"/>
        </w:rPr>
      </w:pPr>
      <w:r w:rsidRPr="00F935D4">
        <w:rPr>
          <w:rStyle w:val="Emphasis"/>
          <w:i w:val="0"/>
        </w:rPr>
        <w:t>The staff member is on the second assignment/appointment and in a duty station classified as A to E;</w:t>
      </w:r>
    </w:p>
    <w:p w:rsidR="004C6D4C" w:rsidRPr="00F935D4" w:rsidRDefault="004C6D4C" w:rsidP="0092400F">
      <w:pPr>
        <w:pStyle w:val="ListParagraph"/>
        <w:numPr>
          <w:ilvl w:val="0"/>
          <w:numId w:val="21"/>
        </w:numPr>
        <w:ind w:firstLine="0"/>
        <w:rPr>
          <w:rStyle w:val="Emphasis"/>
          <w:i w:val="0"/>
        </w:rPr>
      </w:pPr>
      <w:r w:rsidRPr="00F935D4">
        <w:rPr>
          <w:rStyle w:val="Emphasis"/>
          <w:i w:val="0"/>
        </w:rPr>
        <w:t>Periods of service on special leave without pay shall not break continuity of service. However, periods of special leave without pay of more than one full month (30 days) shall not be counted towards the five years of continuing service;</w:t>
      </w:r>
    </w:p>
    <w:p w:rsidR="004C6D4C" w:rsidRPr="00F935D4" w:rsidRDefault="004C6D4C" w:rsidP="0092400F">
      <w:pPr>
        <w:pStyle w:val="ListParagraph"/>
        <w:numPr>
          <w:ilvl w:val="0"/>
          <w:numId w:val="21"/>
        </w:numPr>
        <w:ind w:firstLine="0"/>
        <w:rPr>
          <w:rStyle w:val="Emphasis"/>
          <w:i w:val="0"/>
        </w:rPr>
      </w:pPr>
      <w:r w:rsidRPr="00F935D4">
        <w:rPr>
          <w:rStyle w:val="Emphasis"/>
          <w:i w:val="0"/>
        </w:rPr>
        <w:t>Periods of service under a temporary appointment shall not be considered for purposes of continuity of service.</w:t>
      </w:r>
    </w:p>
    <w:p w:rsidR="004C6D4C" w:rsidRPr="00F935D4" w:rsidRDefault="004C6D4C" w:rsidP="00F935D4">
      <w:pPr>
        <w:rPr>
          <w:rStyle w:val="Emphasis"/>
          <w:i w:val="0"/>
        </w:rPr>
      </w:pPr>
    </w:p>
    <w:p w:rsidR="004C6D4C" w:rsidRPr="00F935D4" w:rsidRDefault="004C6D4C" w:rsidP="00A01CA9">
      <w:pPr>
        <w:pStyle w:val="ListParagraph"/>
        <w:numPr>
          <w:ilvl w:val="0"/>
          <w:numId w:val="19"/>
        </w:numPr>
        <w:tabs>
          <w:tab w:val="left" w:pos="720"/>
        </w:tabs>
        <w:ind w:firstLine="0"/>
        <w:rPr>
          <w:rStyle w:val="Emphasis"/>
          <w:i w:val="0"/>
        </w:rPr>
      </w:pPr>
      <w:r w:rsidRPr="00F935D4">
        <w:rPr>
          <w:rStyle w:val="Emphasis"/>
          <w:i w:val="0"/>
        </w:rPr>
        <w:t xml:space="preserve">Determining the number of assignments for the purposes of the mobility incentive shall be counted in accordance with the provisions of the administrative instruction on mobility and hardship scheme.  </w:t>
      </w:r>
    </w:p>
    <w:p w:rsidR="004C6D4C" w:rsidRPr="00F935D4" w:rsidRDefault="004C6D4C" w:rsidP="00A01CA9">
      <w:pPr>
        <w:tabs>
          <w:tab w:val="left" w:pos="720"/>
        </w:tabs>
        <w:ind w:left="360"/>
        <w:rPr>
          <w:rStyle w:val="Emphasis"/>
          <w:i w:val="0"/>
        </w:rPr>
      </w:pPr>
    </w:p>
    <w:p w:rsidR="004C6D4C" w:rsidRPr="00F935D4" w:rsidRDefault="004C6D4C" w:rsidP="00A01CA9">
      <w:pPr>
        <w:pStyle w:val="ListParagraph"/>
        <w:numPr>
          <w:ilvl w:val="0"/>
          <w:numId w:val="19"/>
        </w:numPr>
        <w:tabs>
          <w:tab w:val="left" w:pos="720"/>
        </w:tabs>
        <w:ind w:firstLine="0"/>
        <w:rPr>
          <w:rStyle w:val="Emphasis"/>
          <w:i w:val="0"/>
        </w:rPr>
      </w:pPr>
      <w:r w:rsidRPr="00F935D4">
        <w:rPr>
          <w:rStyle w:val="Emphasis"/>
          <w:i w:val="0"/>
        </w:rPr>
        <w:t>The mobility incentive is not payable in Headquarter duty stations.  However, qualifying service at a Headquarter duty station of one year or longer shall be counted for purposes of determining the count of assignments for the mobility incentive.</w:t>
      </w:r>
      <w:r w:rsidR="008E3DEE" w:rsidRPr="00F935D4">
        <w:rPr>
          <w:rStyle w:val="Emphasis"/>
          <w:i w:val="0"/>
        </w:rPr>
        <w:t xml:space="preserve">  The count of assignments under the mobility allowance will be honoured for purposes of the mobility </w:t>
      </w:r>
      <w:r w:rsidR="00BB0EBA">
        <w:rPr>
          <w:rStyle w:val="Emphasis"/>
          <w:i w:val="0"/>
        </w:rPr>
        <w:t>incentive</w:t>
      </w:r>
      <w:r w:rsidR="008E3DEE" w:rsidRPr="00F935D4">
        <w:rPr>
          <w:rStyle w:val="Emphasis"/>
          <w:i w:val="0"/>
        </w:rPr>
        <w:t>.</w:t>
      </w:r>
    </w:p>
    <w:p w:rsidR="004C6D4C" w:rsidRPr="00F935D4" w:rsidRDefault="004C6D4C" w:rsidP="00A01CA9">
      <w:pPr>
        <w:tabs>
          <w:tab w:val="left" w:pos="720"/>
        </w:tabs>
        <w:ind w:left="360"/>
        <w:rPr>
          <w:rStyle w:val="Emphasis"/>
          <w:i w:val="0"/>
        </w:rPr>
      </w:pPr>
    </w:p>
    <w:p w:rsidR="004C6D4C" w:rsidRPr="00F935D4" w:rsidRDefault="004C6D4C" w:rsidP="00A01CA9">
      <w:pPr>
        <w:pStyle w:val="ListParagraph"/>
        <w:numPr>
          <w:ilvl w:val="0"/>
          <w:numId w:val="19"/>
        </w:numPr>
        <w:tabs>
          <w:tab w:val="left" w:pos="720"/>
        </w:tabs>
        <w:ind w:firstLine="0"/>
        <w:rPr>
          <w:rStyle w:val="Emphasis"/>
          <w:i w:val="0"/>
        </w:rPr>
      </w:pPr>
      <w:r w:rsidRPr="00F935D4">
        <w:rPr>
          <w:rStyle w:val="Emphasis"/>
          <w:i w:val="0"/>
        </w:rPr>
        <w:t xml:space="preserve">Like the mobility allowance, the mobility incentive is payable </w:t>
      </w:r>
      <w:r w:rsidR="00BB0EBA">
        <w:rPr>
          <w:rStyle w:val="Emphasis"/>
          <w:i w:val="0"/>
        </w:rPr>
        <w:t>until the staff member reaches</w:t>
      </w:r>
      <w:r w:rsidRPr="00F935D4">
        <w:rPr>
          <w:rStyle w:val="Emphasis"/>
          <w:i w:val="0"/>
        </w:rPr>
        <w:t xml:space="preserve"> a total period of five continuous years at the same duty station.</w:t>
      </w:r>
      <w:r w:rsidR="00965464" w:rsidRPr="00F935D4">
        <w:rPr>
          <w:rStyle w:val="Emphasis"/>
          <w:i w:val="0"/>
        </w:rPr>
        <w:t xml:space="preserve">   However, a staff member in receipt of the mobility </w:t>
      </w:r>
      <w:r w:rsidR="00865471">
        <w:rPr>
          <w:rStyle w:val="Emphasis"/>
          <w:i w:val="0"/>
        </w:rPr>
        <w:t>incentive</w:t>
      </w:r>
      <w:r w:rsidR="00965464" w:rsidRPr="00F935D4">
        <w:rPr>
          <w:rStyle w:val="Emphasis"/>
          <w:i w:val="0"/>
        </w:rPr>
        <w:t xml:space="preserve"> who is explicitly requested by the Organisation to remain at the same duty station or in the case of compelling humanitarian reasons may exceptionally be paid the mobility </w:t>
      </w:r>
      <w:r w:rsidR="00865471">
        <w:rPr>
          <w:rStyle w:val="Emphasis"/>
          <w:i w:val="0"/>
        </w:rPr>
        <w:t>incentive</w:t>
      </w:r>
      <w:r w:rsidR="00965464" w:rsidRPr="00F935D4">
        <w:rPr>
          <w:rStyle w:val="Emphasis"/>
          <w:i w:val="0"/>
        </w:rPr>
        <w:t xml:space="preserve"> for one additional year</w:t>
      </w:r>
      <w:r w:rsidR="00F237DD">
        <w:rPr>
          <w:rStyle w:val="Emphasis"/>
          <w:i w:val="0"/>
        </w:rPr>
        <w:t>,</w:t>
      </w:r>
      <w:r w:rsidR="00965464" w:rsidRPr="00F935D4">
        <w:rPr>
          <w:rStyle w:val="Emphasis"/>
          <w:i w:val="0"/>
        </w:rPr>
        <w:t xml:space="preserve"> </w:t>
      </w:r>
      <w:r w:rsidR="00F237DD">
        <w:rPr>
          <w:rStyle w:val="Emphasis"/>
          <w:i w:val="0"/>
        </w:rPr>
        <w:t>but in no case for more than a total of</w:t>
      </w:r>
      <w:r w:rsidR="00965464" w:rsidRPr="00F935D4">
        <w:rPr>
          <w:rStyle w:val="Emphasis"/>
          <w:i w:val="0"/>
        </w:rPr>
        <w:t xml:space="preserve"> six years at the same duty station.</w:t>
      </w:r>
    </w:p>
    <w:p w:rsidR="004C6D4C" w:rsidRDefault="004C6D4C" w:rsidP="00F935D4">
      <w:pPr>
        <w:rPr>
          <w:rStyle w:val="Emphasis"/>
          <w:i w:val="0"/>
        </w:rPr>
      </w:pPr>
    </w:p>
    <w:p w:rsidR="00A01CA9" w:rsidRPr="00F935D4" w:rsidRDefault="00A01CA9" w:rsidP="00F935D4">
      <w:pPr>
        <w:rPr>
          <w:rStyle w:val="Emphasis"/>
          <w:i w:val="0"/>
        </w:rPr>
      </w:pPr>
    </w:p>
    <w:p w:rsidR="004C6D4C" w:rsidRPr="0016598F" w:rsidRDefault="004C6D4C" w:rsidP="00543FDC">
      <w:pPr>
        <w:ind w:left="720"/>
        <w:rPr>
          <w:rStyle w:val="Emphasis"/>
          <w:b/>
        </w:rPr>
      </w:pPr>
      <w:r w:rsidRPr="0016598F">
        <w:rPr>
          <w:rStyle w:val="Emphasis"/>
          <w:b/>
        </w:rPr>
        <w:t xml:space="preserve">Amount of the </w:t>
      </w:r>
      <w:r w:rsidR="00ED5367" w:rsidRPr="0016598F">
        <w:rPr>
          <w:rStyle w:val="Emphasis"/>
          <w:b/>
        </w:rPr>
        <w:t xml:space="preserve">mobility </w:t>
      </w:r>
      <w:r w:rsidRPr="0016598F">
        <w:rPr>
          <w:rStyle w:val="Emphasis"/>
          <w:b/>
        </w:rPr>
        <w:t>incentive</w:t>
      </w:r>
    </w:p>
    <w:p w:rsidR="004C6D4C" w:rsidRPr="00F935D4" w:rsidRDefault="004C6D4C" w:rsidP="00F935D4">
      <w:pPr>
        <w:rPr>
          <w:rStyle w:val="Emphasis"/>
          <w:i w:val="0"/>
        </w:rPr>
      </w:pPr>
    </w:p>
    <w:p w:rsidR="00ED5367" w:rsidRPr="00F935D4" w:rsidRDefault="004C6D4C" w:rsidP="00A01CA9">
      <w:pPr>
        <w:pStyle w:val="ListParagraph"/>
        <w:numPr>
          <w:ilvl w:val="0"/>
          <w:numId w:val="19"/>
        </w:numPr>
        <w:ind w:firstLine="0"/>
        <w:rPr>
          <w:rStyle w:val="Emphasis"/>
          <w:i w:val="0"/>
        </w:rPr>
      </w:pPr>
      <w:r w:rsidRPr="00F935D4">
        <w:rPr>
          <w:rStyle w:val="Emphasis"/>
          <w:i w:val="0"/>
        </w:rPr>
        <w:t xml:space="preserve">The mobility incentive is payable at a flat rate differentiated by grade level </w:t>
      </w:r>
      <w:r w:rsidR="00D45BB3" w:rsidRPr="00F935D4">
        <w:rPr>
          <w:rStyle w:val="Emphasis"/>
          <w:i w:val="0"/>
        </w:rPr>
        <w:t xml:space="preserve">and number of assignments </w:t>
      </w:r>
      <w:r w:rsidRPr="00F935D4">
        <w:rPr>
          <w:rStyle w:val="Emphasis"/>
          <w:i w:val="0"/>
        </w:rPr>
        <w:t xml:space="preserve">as per the table below.  It does not distinguish based on dependency status.  Therefore, a change in dependency status </w:t>
      </w:r>
      <w:r w:rsidR="00063708">
        <w:rPr>
          <w:rStyle w:val="Emphasis"/>
          <w:i w:val="0"/>
        </w:rPr>
        <w:t>on or after</w:t>
      </w:r>
      <w:r w:rsidRPr="00F935D4">
        <w:rPr>
          <w:rStyle w:val="Emphasis"/>
          <w:i w:val="0"/>
        </w:rPr>
        <w:t xml:space="preserve"> 1 July 2016</w:t>
      </w:r>
      <w:r w:rsidR="000E022D">
        <w:rPr>
          <w:rStyle w:val="Emphasis"/>
          <w:i w:val="0"/>
        </w:rPr>
        <w:t xml:space="preserve"> </w:t>
      </w:r>
      <w:r w:rsidRPr="00F935D4">
        <w:rPr>
          <w:rStyle w:val="Emphasis"/>
          <w:i w:val="0"/>
        </w:rPr>
        <w:t>does not trigger an adjustment in the amount of the mobility incentive.  The mobility incentive is increased by 25 percent upon the 4th assignment and by 50</w:t>
      </w:r>
      <w:r w:rsidR="00DF376F" w:rsidRPr="00F935D4">
        <w:rPr>
          <w:rStyle w:val="Emphasis"/>
          <w:i w:val="0"/>
        </w:rPr>
        <w:t xml:space="preserve"> percent</w:t>
      </w:r>
      <w:r w:rsidRPr="00F935D4">
        <w:rPr>
          <w:rStyle w:val="Emphasis"/>
          <w:i w:val="0"/>
        </w:rPr>
        <w:t xml:space="preserve"> on the 7th assignment.</w:t>
      </w:r>
    </w:p>
    <w:p w:rsidR="006B1EA7" w:rsidRDefault="00F935D4" w:rsidP="0060396A">
      <w:pPr>
        <w:ind w:left="720"/>
        <w:rPr>
          <w:rStyle w:val="Emphasis"/>
          <w:i w:val="0"/>
          <w:sz w:val="16"/>
          <w:szCs w:val="16"/>
        </w:rPr>
      </w:pPr>
      <w:r>
        <w:rPr>
          <w:rStyle w:val="Emphasis"/>
          <w:i w:val="0"/>
        </w:rPr>
        <w:br/>
      </w:r>
    </w:p>
    <w:p w:rsidR="00ED5367" w:rsidRDefault="00ED5367" w:rsidP="0060396A">
      <w:pPr>
        <w:ind w:left="720"/>
        <w:rPr>
          <w:rStyle w:val="Emphasis"/>
          <w:i w:val="0"/>
          <w:sz w:val="16"/>
          <w:szCs w:val="16"/>
        </w:rPr>
      </w:pPr>
      <w:r w:rsidRPr="00543FDC">
        <w:rPr>
          <w:rStyle w:val="Emphasis"/>
          <w:i w:val="0"/>
          <w:sz w:val="16"/>
          <w:szCs w:val="16"/>
        </w:rPr>
        <w:lastRenderedPageBreak/>
        <w:t>Mobility incentive</w:t>
      </w:r>
      <w:r w:rsidR="00865471">
        <w:rPr>
          <w:rStyle w:val="Emphasis"/>
          <w:i w:val="0"/>
          <w:sz w:val="16"/>
          <w:szCs w:val="16"/>
        </w:rPr>
        <w:t xml:space="preserve"> e</w:t>
      </w:r>
      <w:r w:rsidRPr="00543FDC">
        <w:rPr>
          <w:rStyle w:val="Emphasis"/>
          <w:i w:val="0"/>
          <w:sz w:val="16"/>
          <w:szCs w:val="16"/>
        </w:rPr>
        <w:t>ffective 1 July 2016</w:t>
      </w:r>
    </w:p>
    <w:p w:rsidR="00865471" w:rsidRPr="00F935D4" w:rsidRDefault="00865471" w:rsidP="0060396A">
      <w:pPr>
        <w:ind w:left="720"/>
        <w:rPr>
          <w:rStyle w:val="Emphasis"/>
          <w:i w:val="0"/>
        </w:rPr>
      </w:pPr>
      <w:r w:rsidRPr="0060396A">
        <w:rPr>
          <w:rStyle w:val="Emphasis"/>
          <w:i w:val="0"/>
          <w:sz w:val="16"/>
          <w:szCs w:val="16"/>
        </w:rPr>
        <w:t>(Annual amounts in United States dollars)</w:t>
      </w:r>
    </w:p>
    <w:tbl>
      <w:tblPr>
        <w:tblStyle w:val="TableGrid"/>
        <w:tblpPr w:leftFromText="180" w:rightFromText="180" w:vertAnchor="text" w:horzAnchor="margin" w:tblpXSpec="right" w:tblpY="182"/>
        <w:tblW w:w="0" w:type="auto"/>
        <w:tblLook w:val="04A0" w:firstRow="1" w:lastRow="0" w:firstColumn="1" w:lastColumn="0" w:noHBand="0" w:noVBand="1"/>
      </w:tblPr>
      <w:tblGrid>
        <w:gridCol w:w="1548"/>
        <w:gridCol w:w="1620"/>
        <w:gridCol w:w="1800"/>
        <w:gridCol w:w="1620"/>
        <w:gridCol w:w="1530"/>
      </w:tblGrid>
      <w:tr w:rsidR="004C6D4C" w:rsidRPr="00F935D4" w:rsidTr="0060396A">
        <w:tc>
          <w:tcPr>
            <w:tcW w:w="1548" w:type="dxa"/>
          </w:tcPr>
          <w:p w:rsidR="004C6D4C" w:rsidRPr="00F935D4" w:rsidRDefault="004C6D4C" w:rsidP="00992A47">
            <w:pPr>
              <w:rPr>
                <w:rStyle w:val="Emphasis"/>
                <w:i w:val="0"/>
              </w:rPr>
            </w:pPr>
            <w:r w:rsidRPr="00F935D4">
              <w:rPr>
                <w:rStyle w:val="Emphasis"/>
                <w:i w:val="0"/>
              </w:rPr>
              <w:t>Assignment number</w:t>
            </w:r>
          </w:p>
        </w:tc>
        <w:tc>
          <w:tcPr>
            <w:tcW w:w="1620" w:type="dxa"/>
          </w:tcPr>
          <w:p w:rsidR="004C6D4C" w:rsidRPr="00F935D4" w:rsidRDefault="004C6D4C" w:rsidP="00992A47">
            <w:pPr>
              <w:rPr>
                <w:rStyle w:val="Emphasis"/>
                <w:i w:val="0"/>
              </w:rPr>
            </w:pPr>
            <w:r w:rsidRPr="00F935D4">
              <w:rPr>
                <w:rStyle w:val="Emphasis"/>
                <w:i w:val="0"/>
              </w:rPr>
              <w:t>Additional amounts</w:t>
            </w:r>
          </w:p>
        </w:tc>
        <w:tc>
          <w:tcPr>
            <w:tcW w:w="1800" w:type="dxa"/>
          </w:tcPr>
          <w:p w:rsidR="004C6D4C" w:rsidRPr="00F935D4" w:rsidRDefault="004C6D4C" w:rsidP="00992A47">
            <w:pPr>
              <w:rPr>
                <w:rStyle w:val="Emphasis"/>
                <w:i w:val="0"/>
              </w:rPr>
            </w:pPr>
            <w:r w:rsidRPr="00F935D4">
              <w:rPr>
                <w:rStyle w:val="Emphasis"/>
                <w:i w:val="0"/>
              </w:rPr>
              <w:t>Group 1</w:t>
            </w:r>
          </w:p>
          <w:p w:rsidR="004C6D4C" w:rsidRPr="00F935D4" w:rsidRDefault="004C6D4C" w:rsidP="00992A47">
            <w:pPr>
              <w:rPr>
                <w:rStyle w:val="Emphasis"/>
                <w:i w:val="0"/>
              </w:rPr>
            </w:pPr>
            <w:r w:rsidRPr="00F935D4">
              <w:rPr>
                <w:rStyle w:val="Emphasis"/>
                <w:i w:val="0"/>
              </w:rPr>
              <w:t>(P-1 to P-3)</w:t>
            </w:r>
          </w:p>
          <w:p w:rsidR="004C6D4C" w:rsidRPr="00F935D4" w:rsidRDefault="004C6D4C" w:rsidP="00992A47">
            <w:pPr>
              <w:rPr>
                <w:rStyle w:val="Emphasis"/>
                <w:i w:val="0"/>
              </w:rPr>
            </w:pPr>
            <w:r w:rsidRPr="00F935D4">
              <w:rPr>
                <w:rStyle w:val="Emphasis"/>
                <w:i w:val="0"/>
              </w:rPr>
              <w:t>(FS-1 to FS-6)</w:t>
            </w:r>
          </w:p>
          <w:p w:rsidR="004C6D4C" w:rsidRPr="00F935D4" w:rsidRDefault="004C6D4C" w:rsidP="00992A47">
            <w:pPr>
              <w:rPr>
                <w:rStyle w:val="Emphasis"/>
                <w:i w:val="0"/>
              </w:rPr>
            </w:pPr>
            <w:r w:rsidRPr="00F935D4">
              <w:rPr>
                <w:rStyle w:val="Emphasis"/>
                <w:i w:val="0"/>
              </w:rPr>
              <w:t>(IGS)</w:t>
            </w:r>
          </w:p>
        </w:tc>
        <w:tc>
          <w:tcPr>
            <w:tcW w:w="1620" w:type="dxa"/>
          </w:tcPr>
          <w:p w:rsidR="004C6D4C" w:rsidRPr="00F935D4" w:rsidRDefault="004C6D4C" w:rsidP="00992A47">
            <w:pPr>
              <w:rPr>
                <w:rStyle w:val="Emphasis"/>
                <w:i w:val="0"/>
              </w:rPr>
            </w:pPr>
            <w:r w:rsidRPr="00F935D4">
              <w:rPr>
                <w:rStyle w:val="Emphasis"/>
                <w:i w:val="0"/>
              </w:rPr>
              <w:t>Group 2</w:t>
            </w:r>
          </w:p>
          <w:p w:rsidR="004C6D4C" w:rsidRPr="00F935D4" w:rsidRDefault="004C6D4C" w:rsidP="00992A47">
            <w:pPr>
              <w:rPr>
                <w:rStyle w:val="Emphasis"/>
                <w:i w:val="0"/>
              </w:rPr>
            </w:pPr>
            <w:r w:rsidRPr="00F935D4">
              <w:rPr>
                <w:rStyle w:val="Emphasis"/>
                <w:i w:val="0"/>
              </w:rPr>
              <w:t>(P-4 to P-5)</w:t>
            </w:r>
          </w:p>
          <w:p w:rsidR="004C6D4C" w:rsidRPr="00F935D4" w:rsidRDefault="004C6D4C" w:rsidP="00992A47">
            <w:pPr>
              <w:rPr>
                <w:rStyle w:val="Emphasis"/>
                <w:i w:val="0"/>
              </w:rPr>
            </w:pPr>
            <w:r w:rsidRPr="00F935D4">
              <w:rPr>
                <w:rStyle w:val="Emphasis"/>
                <w:i w:val="0"/>
              </w:rPr>
              <w:t>(FS-7)</w:t>
            </w:r>
          </w:p>
          <w:p w:rsidR="004C6D4C" w:rsidRPr="00F935D4" w:rsidRDefault="004C6D4C" w:rsidP="00992A47">
            <w:pPr>
              <w:rPr>
                <w:rStyle w:val="Emphasis"/>
                <w:i w:val="0"/>
              </w:rPr>
            </w:pPr>
          </w:p>
        </w:tc>
        <w:tc>
          <w:tcPr>
            <w:tcW w:w="1530" w:type="dxa"/>
          </w:tcPr>
          <w:p w:rsidR="004C6D4C" w:rsidRPr="00F935D4" w:rsidRDefault="004C6D4C" w:rsidP="00992A47">
            <w:pPr>
              <w:rPr>
                <w:rStyle w:val="Emphasis"/>
                <w:i w:val="0"/>
              </w:rPr>
            </w:pPr>
            <w:r w:rsidRPr="00F935D4">
              <w:rPr>
                <w:rStyle w:val="Emphasis"/>
                <w:i w:val="0"/>
              </w:rPr>
              <w:t>Group 3</w:t>
            </w:r>
          </w:p>
          <w:p w:rsidR="004C6D4C" w:rsidRPr="00F935D4" w:rsidRDefault="004C6D4C" w:rsidP="00992A47">
            <w:pPr>
              <w:rPr>
                <w:rStyle w:val="Emphasis"/>
                <w:i w:val="0"/>
              </w:rPr>
            </w:pPr>
            <w:r w:rsidRPr="00F935D4">
              <w:rPr>
                <w:rStyle w:val="Emphasis"/>
                <w:i w:val="0"/>
              </w:rPr>
              <w:t>(D-1 and above)</w:t>
            </w:r>
          </w:p>
          <w:p w:rsidR="004C6D4C" w:rsidRPr="00F935D4" w:rsidRDefault="004C6D4C" w:rsidP="00992A47">
            <w:pPr>
              <w:rPr>
                <w:rStyle w:val="Emphasis"/>
                <w:i w:val="0"/>
              </w:rPr>
            </w:pPr>
          </w:p>
        </w:tc>
      </w:tr>
      <w:tr w:rsidR="004C6D4C" w:rsidRPr="00F935D4" w:rsidTr="0060396A">
        <w:tc>
          <w:tcPr>
            <w:tcW w:w="1548" w:type="dxa"/>
          </w:tcPr>
          <w:p w:rsidR="004C6D4C" w:rsidRPr="00F935D4" w:rsidRDefault="004C6D4C" w:rsidP="00992A47">
            <w:pPr>
              <w:rPr>
                <w:rStyle w:val="Emphasis"/>
                <w:i w:val="0"/>
              </w:rPr>
            </w:pPr>
            <w:r w:rsidRPr="00F935D4">
              <w:rPr>
                <w:rStyle w:val="Emphasis"/>
                <w:i w:val="0"/>
              </w:rPr>
              <w:t>2 to 3</w:t>
            </w:r>
          </w:p>
        </w:tc>
        <w:tc>
          <w:tcPr>
            <w:tcW w:w="1620" w:type="dxa"/>
          </w:tcPr>
          <w:p w:rsidR="004C6D4C" w:rsidRPr="00F935D4" w:rsidRDefault="004C6D4C" w:rsidP="00992A47">
            <w:pPr>
              <w:rPr>
                <w:rStyle w:val="Emphasis"/>
                <w:i w:val="0"/>
              </w:rPr>
            </w:pPr>
            <w:r w:rsidRPr="00F935D4">
              <w:rPr>
                <w:rStyle w:val="Emphasis"/>
                <w:i w:val="0"/>
              </w:rPr>
              <w:t>None</w:t>
            </w:r>
          </w:p>
        </w:tc>
        <w:tc>
          <w:tcPr>
            <w:tcW w:w="1800" w:type="dxa"/>
          </w:tcPr>
          <w:p w:rsidR="004C6D4C" w:rsidRPr="00F935D4" w:rsidRDefault="004C6D4C" w:rsidP="00992A47">
            <w:pPr>
              <w:rPr>
                <w:rStyle w:val="Emphasis"/>
                <w:i w:val="0"/>
              </w:rPr>
            </w:pPr>
            <w:r w:rsidRPr="00F935D4">
              <w:rPr>
                <w:rStyle w:val="Emphasis"/>
                <w:i w:val="0"/>
              </w:rPr>
              <w:t>6,500</w:t>
            </w:r>
          </w:p>
        </w:tc>
        <w:tc>
          <w:tcPr>
            <w:tcW w:w="1620" w:type="dxa"/>
          </w:tcPr>
          <w:p w:rsidR="004C6D4C" w:rsidRPr="00F935D4" w:rsidRDefault="004C6D4C" w:rsidP="00992A47">
            <w:pPr>
              <w:rPr>
                <w:rStyle w:val="Emphasis"/>
                <w:i w:val="0"/>
              </w:rPr>
            </w:pPr>
            <w:r w:rsidRPr="00F935D4">
              <w:rPr>
                <w:rStyle w:val="Emphasis"/>
                <w:i w:val="0"/>
              </w:rPr>
              <w:t xml:space="preserve"> 8,125</w:t>
            </w:r>
          </w:p>
        </w:tc>
        <w:tc>
          <w:tcPr>
            <w:tcW w:w="1530" w:type="dxa"/>
          </w:tcPr>
          <w:p w:rsidR="004C6D4C" w:rsidRPr="00F935D4" w:rsidRDefault="004C6D4C" w:rsidP="00992A47">
            <w:pPr>
              <w:rPr>
                <w:rStyle w:val="Emphasis"/>
                <w:i w:val="0"/>
              </w:rPr>
            </w:pPr>
            <w:r w:rsidRPr="00F935D4">
              <w:rPr>
                <w:rStyle w:val="Emphasis"/>
                <w:i w:val="0"/>
              </w:rPr>
              <w:t xml:space="preserve"> 9,750</w:t>
            </w:r>
          </w:p>
        </w:tc>
      </w:tr>
      <w:tr w:rsidR="004C6D4C" w:rsidRPr="00F935D4" w:rsidTr="0060396A">
        <w:tc>
          <w:tcPr>
            <w:tcW w:w="1548" w:type="dxa"/>
          </w:tcPr>
          <w:p w:rsidR="004C6D4C" w:rsidRPr="00F935D4" w:rsidRDefault="004C6D4C" w:rsidP="00992A47">
            <w:pPr>
              <w:rPr>
                <w:rStyle w:val="Emphasis"/>
                <w:i w:val="0"/>
              </w:rPr>
            </w:pPr>
            <w:r w:rsidRPr="00F935D4">
              <w:rPr>
                <w:rStyle w:val="Emphasis"/>
                <w:i w:val="0"/>
              </w:rPr>
              <w:t>4 to 6</w:t>
            </w:r>
          </w:p>
        </w:tc>
        <w:tc>
          <w:tcPr>
            <w:tcW w:w="1620" w:type="dxa"/>
          </w:tcPr>
          <w:p w:rsidR="004C6D4C" w:rsidRPr="00F935D4" w:rsidRDefault="004C6D4C" w:rsidP="00992A47">
            <w:pPr>
              <w:rPr>
                <w:rStyle w:val="Emphasis"/>
                <w:i w:val="0"/>
              </w:rPr>
            </w:pPr>
            <w:r w:rsidRPr="00F935D4">
              <w:rPr>
                <w:rStyle w:val="Emphasis"/>
                <w:i w:val="0"/>
              </w:rPr>
              <w:t>25 per cent</w:t>
            </w:r>
          </w:p>
        </w:tc>
        <w:tc>
          <w:tcPr>
            <w:tcW w:w="1800" w:type="dxa"/>
          </w:tcPr>
          <w:p w:rsidR="004C6D4C" w:rsidRPr="00F935D4" w:rsidRDefault="004C6D4C" w:rsidP="00992A47">
            <w:pPr>
              <w:rPr>
                <w:rStyle w:val="Emphasis"/>
                <w:i w:val="0"/>
              </w:rPr>
            </w:pPr>
            <w:r w:rsidRPr="00F935D4">
              <w:rPr>
                <w:rStyle w:val="Emphasis"/>
                <w:i w:val="0"/>
              </w:rPr>
              <w:t>8,125</w:t>
            </w:r>
          </w:p>
        </w:tc>
        <w:tc>
          <w:tcPr>
            <w:tcW w:w="1620" w:type="dxa"/>
          </w:tcPr>
          <w:p w:rsidR="004C6D4C" w:rsidRPr="00F935D4" w:rsidRDefault="004C6D4C" w:rsidP="00992A47">
            <w:pPr>
              <w:rPr>
                <w:rStyle w:val="Emphasis"/>
                <w:i w:val="0"/>
              </w:rPr>
            </w:pPr>
            <w:r w:rsidRPr="00F935D4">
              <w:rPr>
                <w:rStyle w:val="Emphasis"/>
                <w:i w:val="0"/>
              </w:rPr>
              <w:t>10,156</w:t>
            </w:r>
          </w:p>
        </w:tc>
        <w:tc>
          <w:tcPr>
            <w:tcW w:w="1530" w:type="dxa"/>
          </w:tcPr>
          <w:p w:rsidR="004C6D4C" w:rsidRPr="00F935D4" w:rsidRDefault="004C6D4C" w:rsidP="00992A47">
            <w:pPr>
              <w:rPr>
                <w:rStyle w:val="Emphasis"/>
                <w:i w:val="0"/>
              </w:rPr>
            </w:pPr>
            <w:r w:rsidRPr="00F935D4">
              <w:rPr>
                <w:rStyle w:val="Emphasis"/>
                <w:i w:val="0"/>
              </w:rPr>
              <w:t>12,188</w:t>
            </w:r>
          </w:p>
        </w:tc>
      </w:tr>
      <w:tr w:rsidR="004C6D4C" w:rsidRPr="00F935D4" w:rsidTr="0060396A">
        <w:tc>
          <w:tcPr>
            <w:tcW w:w="1548" w:type="dxa"/>
          </w:tcPr>
          <w:p w:rsidR="004C6D4C" w:rsidRPr="00F935D4" w:rsidRDefault="004C6D4C" w:rsidP="00992A47">
            <w:pPr>
              <w:rPr>
                <w:rStyle w:val="Emphasis"/>
                <w:i w:val="0"/>
              </w:rPr>
            </w:pPr>
            <w:r w:rsidRPr="00F935D4">
              <w:rPr>
                <w:rStyle w:val="Emphasis"/>
                <w:i w:val="0"/>
              </w:rPr>
              <w:t>7+</w:t>
            </w:r>
          </w:p>
        </w:tc>
        <w:tc>
          <w:tcPr>
            <w:tcW w:w="1620" w:type="dxa"/>
          </w:tcPr>
          <w:p w:rsidR="004C6D4C" w:rsidRPr="00F935D4" w:rsidRDefault="004C6D4C" w:rsidP="00992A47">
            <w:pPr>
              <w:rPr>
                <w:rStyle w:val="Emphasis"/>
                <w:i w:val="0"/>
              </w:rPr>
            </w:pPr>
            <w:r w:rsidRPr="00F935D4">
              <w:rPr>
                <w:rStyle w:val="Emphasis"/>
                <w:i w:val="0"/>
              </w:rPr>
              <w:t>50 per cent</w:t>
            </w:r>
          </w:p>
        </w:tc>
        <w:tc>
          <w:tcPr>
            <w:tcW w:w="1800" w:type="dxa"/>
          </w:tcPr>
          <w:p w:rsidR="004C6D4C" w:rsidRPr="00F935D4" w:rsidRDefault="004C6D4C" w:rsidP="00992A47">
            <w:pPr>
              <w:rPr>
                <w:rStyle w:val="Emphasis"/>
                <w:i w:val="0"/>
              </w:rPr>
            </w:pPr>
            <w:r w:rsidRPr="00F935D4">
              <w:rPr>
                <w:rStyle w:val="Emphasis"/>
                <w:i w:val="0"/>
              </w:rPr>
              <w:t>9,750</w:t>
            </w:r>
          </w:p>
        </w:tc>
        <w:tc>
          <w:tcPr>
            <w:tcW w:w="1620" w:type="dxa"/>
          </w:tcPr>
          <w:p w:rsidR="004C6D4C" w:rsidRPr="00F935D4" w:rsidRDefault="004C6D4C" w:rsidP="00992A47">
            <w:pPr>
              <w:rPr>
                <w:rStyle w:val="Emphasis"/>
                <w:i w:val="0"/>
              </w:rPr>
            </w:pPr>
            <w:r w:rsidRPr="00F935D4">
              <w:rPr>
                <w:rStyle w:val="Emphasis"/>
                <w:i w:val="0"/>
              </w:rPr>
              <w:t>12,188</w:t>
            </w:r>
          </w:p>
        </w:tc>
        <w:tc>
          <w:tcPr>
            <w:tcW w:w="1530" w:type="dxa"/>
          </w:tcPr>
          <w:p w:rsidR="004C6D4C" w:rsidRPr="00F935D4" w:rsidRDefault="004C6D4C" w:rsidP="00992A47">
            <w:pPr>
              <w:rPr>
                <w:rStyle w:val="Emphasis"/>
                <w:i w:val="0"/>
              </w:rPr>
            </w:pPr>
            <w:r w:rsidRPr="00F935D4">
              <w:rPr>
                <w:rStyle w:val="Emphasis"/>
                <w:i w:val="0"/>
              </w:rPr>
              <w:t>14,625</w:t>
            </w:r>
          </w:p>
        </w:tc>
      </w:tr>
    </w:tbl>
    <w:p w:rsidR="004C6D4C" w:rsidRPr="00F935D4" w:rsidRDefault="004C6D4C" w:rsidP="00F935D4">
      <w:pPr>
        <w:rPr>
          <w:rStyle w:val="Emphasis"/>
          <w:i w:val="0"/>
        </w:rPr>
      </w:pPr>
    </w:p>
    <w:p w:rsidR="004C6D4C" w:rsidRPr="00F935D4" w:rsidRDefault="004C6D4C" w:rsidP="00F935D4">
      <w:pPr>
        <w:rPr>
          <w:rStyle w:val="Emphasis"/>
          <w:i w:val="0"/>
        </w:rPr>
      </w:pPr>
    </w:p>
    <w:p w:rsidR="004C6D4C" w:rsidRPr="00F935D4" w:rsidRDefault="004C6D4C" w:rsidP="00F935D4">
      <w:pPr>
        <w:rPr>
          <w:rStyle w:val="Emphasis"/>
          <w:i w:val="0"/>
        </w:rPr>
      </w:pPr>
    </w:p>
    <w:p w:rsidR="004C6D4C" w:rsidRPr="00F935D4" w:rsidRDefault="004C6D4C" w:rsidP="00F935D4">
      <w:pPr>
        <w:rPr>
          <w:rStyle w:val="Emphasis"/>
          <w:i w:val="0"/>
        </w:rPr>
      </w:pPr>
    </w:p>
    <w:p w:rsidR="004C6D4C" w:rsidRPr="00F935D4" w:rsidRDefault="004C6D4C" w:rsidP="00F935D4">
      <w:pPr>
        <w:rPr>
          <w:rStyle w:val="Emphasis"/>
          <w:i w:val="0"/>
        </w:rPr>
      </w:pPr>
    </w:p>
    <w:p w:rsidR="004C6D4C" w:rsidRPr="00F935D4" w:rsidRDefault="004C6D4C" w:rsidP="00F935D4">
      <w:pPr>
        <w:rPr>
          <w:rStyle w:val="Emphasis"/>
          <w:i w:val="0"/>
        </w:rPr>
      </w:pPr>
    </w:p>
    <w:p w:rsidR="004C6D4C" w:rsidRPr="00F935D4" w:rsidRDefault="004C6D4C" w:rsidP="00F935D4">
      <w:pPr>
        <w:rPr>
          <w:rStyle w:val="Emphasis"/>
          <w:i w:val="0"/>
        </w:rPr>
      </w:pPr>
    </w:p>
    <w:p w:rsidR="004C6D4C" w:rsidRPr="00F935D4" w:rsidRDefault="004C6D4C" w:rsidP="00F935D4">
      <w:pPr>
        <w:rPr>
          <w:rStyle w:val="Emphasis"/>
          <w:i w:val="0"/>
        </w:rPr>
      </w:pPr>
    </w:p>
    <w:p w:rsidR="004C6D4C" w:rsidRPr="00F935D4" w:rsidRDefault="004C6D4C" w:rsidP="00F935D4">
      <w:pPr>
        <w:rPr>
          <w:rStyle w:val="Emphasis"/>
          <w:i w:val="0"/>
        </w:rPr>
      </w:pPr>
    </w:p>
    <w:p w:rsidR="004C6D4C" w:rsidRPr="0016598F" w:rsidRDefault="00ED5367" w:rsidP="00543FDC">
      <w:pPr>
        <w:ind w:left="720"/>
        <w:rPr>
          <w:rStyle w:val="Emphasis"/>
          <w:b/>
        </w:rPr>
      </w:pPr>
      <w:r w:rsidRPr="0016598F">
        <w:rPr>
          <w:rStyle w:val="Emphasis"/>
          <w:b/>
        </w:rPr>
        <w:t>Transitional measure</w:t>
      </w:r>
    </w:p>
    <w:p w:rsidR="004C6D4C" w:rsidRPr="00F935D4" w:rsidRDefault="004C6D4C" w:rsidP="00F935D4">
      <w:pPr>
        <w:rPr>
          <w:rStyle w:val="Emphasis"/>
          <w:i w:val="0"/>
        </w:rPr>
      </w:pPr>
    </w:p>
    <w:p w:rsidR="004C6D4C" w:rsidRPr="00F935D4" w:rsidRDefault="004C6D4C" w:rsidP="00A01CA9">
      <w:pPr>
        <w:pStyle w:val="ListParagraph"/>
        <w:numPr>
          <w:ilvl w:val="0"/>
          <w:numId w:val="19"/>
        </w:numPr>
        <w:ind w:firstLine="0"/>
        <w:rPr>
          <w:rStyle w:val="Emphasis"/>
          <w:i w:val="0"/>
        </w:rPr>
      </w:pPr>
      <w:r w:rsidRPr="00F935D4">
        <w:rPr>
          <w:rStyle w:val="Emphasis"/>
          <w:i w:val="0"/>
        </w:rPr>
        <w:t xml:space="preserve">As a transitional measure, staff members in the professional and higher categories, the field service category and international </w:t>
      </w:r>
      <w:r w:rsidR="00ED5367" w:rsidRPr="00F935D4">
        <w:rPr>
          <w:rStyle w:val="Emphasis"/>
          <w:i w:val="0"/>
        </w:rPr>
        <w:t>g</w:t>
      </w:r>
      <w:r w:rsidRPr="00F935D4">
        <w:rPr>
          <w:rStyle w:val="Emphasis"/>
          <w:i w:val="0"/>
        </w:rPr>
        <w:t xml:space="preserve">eneral </w:t>
      </w:r>
      <w:r w:rsidR="00ED5367" w:rsidRPr="00F935D4">
        <w:rPr>
          <w:rStyle w:val="Emphasis"/>
          <w:i w:val="0"/>
        </w:rPr>
        <w:t>s</w:t>
      </w:r>
      <w:r w:rsidRPr="00F935D4">
        <w:rPr>
          <w:rStyle w:val="Emphasis"/>
          <w:i w:val="0"/>
        </w:rPr>
        <w:t xml:space="preserve">ervice staff holding an appointment other than a temporary appointment and in receipt of the mobility allowance, on 30 June 2016 will continue to receive the allowance for up to five continuous years at the same duty station, including at duty stations classified as H, or until </w:t>
      </w:r>
      <w:r w:rsidRPr="00943C4C">
        <w:rPr>
          <w:rStyle w:val="Emphasis"/>
          <w:i w:val="0"/>
        </w:rPr>
        <w:t>the staff member moves to another duty station</w:t>
      </w:r>
      <w:r w:rsidR="00943C4C">
        <w:rPr>
          <w:rStyle w:val="Emphasis"/>
          <w:i w:val="0"/>
        </w:rPr>
        <w:t xml:space="preserve"> for a period of one year or longer</w:t>
      </w:r>
      <w:r w:rsidRPr="00943C4C">
        <w:rPr>
          <w:rStyle w:val="Emphasis"/>
          <w:i w:val="0"/>
        </w:rPr>
        <w:t>,</w:t>
      </w:r>
      <w:r w:rsidRPr="00F935D4">
        <w:rPr>
          <w:rStyle w:val="Emphasis"/>
          <w:i w:val="0"/>
        </w:rPr>
        <w:t xml:space="preserve"> whichever is earlier.  The allowance shall be payable on the basis of the amounts of the mobility allowance in effect as of 30 June 2016 as per table below. </w:t>
      </w:r>
    </w:p>
    <w:p w:rsidR="004C6D4C" w:rsidRPr="00F935D4" w:rsidRDefault="004C6D4C" w:rsidP="00F935D4">
      <w:pPr>
        <w:rPr>
          <w:rStyle w:val="Emphasis"/>
          <w:i w:val="0"/>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6B1EA7" w:rsidRDefault="006B1EA7" w:rsidP="00543FDC">
      <w:pPr>
        <w:ind w:left="720"/>
        <w:rPr>
          <w:rStyle w:val="Emphasis"/>
          <w:i w:val="0"/>
          <w:sz w:val="16"/>
          <w:szCs w:val="16"/>
        </w:rPr>
      </w:pPr>
    </w:p>
    <w:p w:rsidR="006B1EA7" w:rsidRDefault="006B1EA7" w:rsidP="00543FDC">
      <w:pPr>
        <w:ind w:left="720"/>
        <w:rPr>
          <w:rStyle w:val="Emphasis"/>
          <w:i w:val="0"/>
          <w:sz w:val="16"/>
          <w:szCs w:val="16"/>
        </w:rPr>
      </w:pPr>
    </w:p>
    <w:p w:rsidR="006B1EA7" w:rsidRDefault="006B1EA7" w:rsidP="00543FDC">
      <w:pPr>
        <w:ind w:left="720"/>
        <w:rPr>
          <w:rStyle w:val="Emphasis"/>
          <w:i w:val="0"/>
          <w:sz w:val="16"/>
          <w:szCs w:val="16"/>
        </w:rPr>
      </w:pPr>
    </w:p>
    <w:p w:rsidR="006B1EA7" w:rsidRDefault="006B1EA7" w:rsidP="00543FDC">
      <w:pPr>
        <w:ind w:left="720"/>
        <w:rPr>
          <w:rStyle w:val="Emphasis"/>
          <w:i w:val="0"/>
          <w:sz w:val="16"/>
          <w:szCs w:val="16"/>
        </w:rPr>
      </w:pPr>
    </w:p>
    <w:p w:rsidR="006B1EA7" w:rsidRDefault="006B1EA7" w:rsidP="00543FDC">
      <w:pPr>
        <w:ind w:left="720"/>
        <w:rPr>
          <w:rStyle w:val="Emphasis"/>
          <w:i w:val="0"/>
          <w:sz w:val="16"/>
          <w:szCs w:val="16"/>
        </w:rPr>
      </w:pPr>
    </w:p>
    <w:p w:rsidR="006B1EA7" w:rsidRDefault="006B1EA7" w:rsidP="00543FDC">
      <w:pPr>
        <w:ind w:left="720"/>
        <w:rPr>
          <w:rStyle w:val="Emphasis"/>
          <w:i w:val="0"/>
          <w:sz w:val="16"/>
          <w:szCs w:val="16"/>
        </w:rPr>
      </w:pPr>
    </w:p>
    <w:p w:rsidR="006B1EA7" w:rsidRDefault="006B1EA7" w:rsidP="00543FDC">
      <w:pPr>
        <w:ind w:left="720"/>
        <w:rPr>
          <w:rStyle w:val="Emphasis"/>
          <w:i w:val="0"/>
          <w:sz w:val="16"/>
          <w:szCs w:val="16"/>
        </w:rPr>
      </w:pPr>
    </w:p>
    <w:p w:rsidR="006B1EA7" w:rsidRDefault="006B1EA7" w:rsidP="00543FDC">
      <w:pPr>
        <w:ind w:left="720"/>
        <w:rPr>
          <w:rStyle w:val="Emphasis"/>
          <w:i w:val="0"/>
          <w:sz w:val="16"/>
          <w:szCs w:val="16"/>
        </w:rPr>
      </w:pPr>
    </w:p>
    <w:p w:rsidR="006B1EA7" w:rsidRDefault="006B1EA7" w:rsidP="00543FDC">
      <w:pPr>
        <w:ind w:left="720"/>
        <w:rPr>
          <w:rStyle w:val="Emphasis"/>
          <w:i w:val="0"/>
          <w:sz w:val="16"/>
          <w:szCs w:val="16"/>
        </w:rPr>
      </w:pPr>
    </w:p>
    <w:p w:rsidR="006B1EA7" w:rsidRDefault="006B1EA7" w:rsidP="00543FDC">
      <w:pPr>
        <w:ind w:left="720"/>
        <w:rPr>
          <w:rStyle w:val="Emphasis"/>
          <w:i w:val="0"/>
          <w:sz w:val="16"/>
          <w:szCs w:val="16"/>
        </w:rPr>
      </w:pPr>
    </w:p>
    <w:p w:rsidR="006B1EA7" w:rsidRDefault="006B1EA7" w:rsidP="00543FDC">
      <w:pPr>
        <w:ind w:left="720"/>
        <w:rPr>
          <w:rStyle w:val="Emphasis"/>
          <w:i w:val="0"/>
          <w:sz w:val="16"/>
          <w:szCs w:val="16"/>
        </w:rPr>
      </w:pPr>
    </w:p>
    <w:p w:rsidR="006B1EA7" w:rsidRDefault="006B1EA7" w:rsidP="00543FDC">
      <w:pPr>
        <w:ind w:left="720"/>
        <w:rPr>
          <w:rStyle w:val="Emphasis"/>
          <w:i w:val="0"/>
          <w:sz w:val="16"/>
          <w:szCs w:val="16"/>
        </w:rPr>
      </w:pPr>
    </w:p>
    <w:p w:rsidR="006B1EA7" w:rsidRDefault="006B1EA7" w:rsidP="00543FDC">
      <w:pPr>
        <w:ind w:left="720"/>
        <w:rPr>
          <w:rStyle w:val="Emphasis"/>
          <w:i w:val="0"/>
          <w:sz w:val="16"/>
          <w:szCs w:val="16"/>
        </w:rPr>
      </w:pPr>
    </w:p>
    <w:p w:rsidR="006B1EA7" w:rsidRDefault="006B1EA7" w:rsidP="00543FDC">
      <w:pPr>
        <w:ind w:left="720"/>
        <w:rPr>
          <w:rStyle w:val="Emphasis"/>
          <w:i w:val="0"/>
          <w:sz w:val="16"/>
          <w:szCs w:val="16"/>
        </w:rPr>
      </w:pPr>
    </w:p>
    <w:p w:rsidR="006B1EA7" w:rsidRDefault="006B1EA7"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A01CA9" w:rsidRDefault="00A01CA9" w:rsidP="00543FDC">
      <w:pPr>
        <w:ind w:left="720"/>
        <w:rPr>
          <w:rStyle w:val="Emphasis"/>
          <w:i w:val="0"/>
          <w:sz w:val="16"/>
          <w:szCs w:val="16"/>
        </w:rPr>
      </w:pPr>
    </w:p>
    <w:p w:rsidR="004C6D4C" w:rsidRPr="00543FDC" w:rsidRDefault="004C6D4C" w:rsidP="00543FDC">
      <w:pPr>
        <w:ind w:left="720"/>
        <w:rPr>
          <w:rStyle w:val="Emphasis"/>
          <w:i w:val="0"/>
          <w:sz w:val="16"/>
          <w:szCs w:val="16"/>
        </w:rPr>
      </w:pPr>
      <w:r w:rsidRPr="00543FDC">
        <w:rPr>
          <w:rStyle w:val="Emphasis"/>
          <w:i w:val="0"/>
          <w:sz w:val="16"/>
          <w:szCs w:val="16"/>
        </w:rPr>
        <w:t>Mobility allowance as of 30 June 2016</w:t>
      </w:r>
    </w:p>
    <w:p w:rsidR="004C6D4C" w:rsidRDefault="00ED5367" w:rsidP="00543FDC">
      <w:pPr>
        <w:ind w:left="720"/>
        <w:rPr>
          <w:rStyle w:val="Emphasis"/>
          <w:i w:val="0"/>
          <w:sz w:val="16"/>
          <w:szCs w:val="16"/>
        </w:rPr>
      </w:pPr>
      <w:r w:rsidRPr="00543FDC">
        <w:rPr>
          <w:rStyle w:val="Emphasis"/>
          <w:i w:val="0"/>
          <w:sz w:val="16"/>
          <w:szCs w:val="16"/>
        </w:rPr>
        <w:t>(Annual amounts in United States dollars)</w:t>
      </w:r>
    </w:p>
    <w:p w:rsidR="00A01CA9" w:rsidRPr="00F935D4" w:rsidRDefault="00A01CA9" w:rsidP="00543FDC">
      <w:pPr>
        <w:ind w:left="720"/>
        <w:rPr>
          <w:rStyle w:val="Emphasis"/>
          <w:i w:val="0"/>
        </w:rPr>
      </w:pPr>
    </w:p>
    <w:p w:rsidR="00ED5367" w:rsidRDefault="00543FDC" w:rsidP="0060396A">
      <w:pPr>
        <w:ind w:firstLine="360"/>
        <w:rPr>
          <w:rStyle w:val="Emphasis"/>
          <w:i w:val="0"/>
        </w:rPr>
      </w:pPr>
      <w:r w:rsidRPr="00F935D4">
        <w:rPr>
          <w:rStyle w:val="Emphasis"/>
          <w:i w:val="0"/>
          <w:noProof/>
          <w:lang w:eastAsia="en-GB"/>
        </w:rPr>
        <w:drawing>
          <wp:inline distT="0" distB="0" distL="0" distR="0" wp14:anchorId="7F444E13" wp14:editId="7A741DF1">
            <wp:extent cx="5192202" cy="3657600"/>
            <wp:effectExtent l="0" t="0" r="889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cstate="print"/>
                    <a:stretch>
                      <a:fillRect/>
                    </a:stretch>
                  </pic:blipFill>
                  <pic:spPr>
                    <a:xfrm>
                      <a:off x="0" y="0"/>
                      <a:ext cx="5193253" cy="3658340"/>
                    </a:xfrm>
                    <a:prstGeom prst="rect">
                      <a:avLst/>
                    </a:prstGeom>
                  </pic:spPr>
                </pic:pic>
              </a:graphicData>
            </a:graphic>
          </wp:inline>
        </w:drawing>
      </w:r>
    </w:p>
    <w:p w:rsidR="00A01CA9" w:rsidRPr="00F935D4" w:rsidRDefault="00A01CA9" w:rsidP="0060396A">
      <w:pPr>
        <w:ind w:firstLine="360"/>
        <w:rPr>
          <w:rStyle w:val="Emphasis"/>
          <w:i w:val="0"/>
        </w:rPr>
      </w:pPr>
    </w:p>
    <w:p w:rsidR="004C6D4C" w:rsidRPr="00F935D4" w:rsidRDefault="004C6D4C" w:rsidP="00A01CA9">
      <w:pPr>
        <w:pStyle w:val="ListParagraph"/>
        <w:numPr>
          <w:ilvl w:val="0"/>
          <w:numId w:val="19"/>
        </w:numPr>
        <w:tabs>
          <w:tab w:val="left" w:pos="720"/>
        </w:tabs>
        <w:ind w:firstLine="0"/>
        <w:rPr>
          <w:rStyle w:val="Emphasis"/>
          <w:i w:val="0"/>
        </w:rPr>
      </w:pPr>
      <w:r w:rsidRPr="00F935D4">
        <w:rPr>
          <w:rStyle w:val="Emphasis"/>
          <w:i w:val="0"/>
        </w:rPr>
        <w:t xml:space="preserve">In connection with the transitional measure, a staff member in receipt of the mobility allowance who is explicitly requested by the Organisation to remain at the same duty station or in the case of compelling humanitarian </w:t>
      </w:r>
      <w:r w:rsidR="00ED5367" w:rsidRPr="00F935D4">
        <w:rPr>
          <w:rStyle w:val="Emphasis"/>
          <w:i w:val="0"/>
        </w:rPr>
        <w:t>reasons</w:t>
      </w:r>
      <w:r w:rsidRPr="00F935D4">
        <w:rPr>
          <w:rStyle w:val="Emphasis"/>
          <w:i w:val="0"/>
        </w:rPr>
        <w:t xml:space="preserve"> may exceptionally be paid the mobility allowance for one additional year for a maximum of six years at the same duty station.</w:t>
      </w:r>
    </w:p>
    <w:p w:rsidR="004C6D4C" w:rsidRPr="00F935D4" w:rsidRDefault="004C6D4C" w:rsidP="00A01CA9">
      <w:pPr>
        <w:tabs>
          <w:tab w:val="left" w:pos="720"/>
        </w:tabs>
        <w:ind w:left="360"/>
        <w:rPr>
          <w:rStyle w:val="Emphasis"/>
          <w:i w:val="0"/>
        </w:rPr>
      </w:pPr>
    </w:p>
    <w:p w:rsidR="004C6D4C" w:rsidRPr="00F935D4" w:rsidRDefault="004C6D4C" w:rsidP="00A01CA9">
      <w:pPr>
        <w:pStyle w:val="ListParagraph"/>
        <w:numPr>
          <w:ilvl w:val="0"/>
          <w:numId w:val="19"/>
        </w:numPr>
        <w:tabs>
          <w:tab w:val="left" w:pos="720"/>
        </w:tabs>
        <w:ind w:firstLine="0"/>
        <w:rPr>
          <w:rStyle w:val="Emphasis"/>
          <w:i w:val="0"/>
        </w:rPr>
      </w:pPr>
      <w:r w:rsidRPr="00F935D4">
        <w:rPr>
          <w:rStyle w:val="Emphasis"/>
          <w:i w:val="0"/>
        </w:rPr>
        <w:t xml:space="preserve">Where a staff member is in receipt of the mobility allowance as a transitional measure and moves to a new duty station </w:t>
      </w:r>
      <w:r w:rsidR="00ED5367" w:rsidRPr="00F935D4">
        <w:rPr>
          <w:rStyle w:val="Emphasis"/>
          <w:i w:val="0"/>
        </w:rPr>
        <w:t xml:space="preserve">classified as </w:t>
      </w:r>
      <w:r w:rsidRPr="00F935D4">
        <w:rPr>
          <w:rStyle w:val="Emphasis"/>
          <w:i w:val="0"/>
        </w:rPr>
        <w:t>A to E</w:t>
      </w:r>
      <w:r w:rsidR="00ED5367" w:rsidRPr="00F935D4">
        <w:rPr>
          <w:rStyle w:val="Emphasis"/>
          <w:i w:val="0"/>
        </w:rPr>
        <w:t>,</w:t>
      </w:r>
      <w:r w:rsidRPr="00F935D4">
        <w:rPr>
          <w:rStyle w:val="Emphasis"/>
          <w:i w:val="0"/>
        </w:rPr>
        <w:t xml:space="preserve"> on or after 1 July 2016, </w:t>
      </w:r>
      <w:r w:rsidR="00AE7D5A">
        <w:rPr>
          <w:rStyle w:val="Emphasis"/>
          <w:i w:val="0"/>
        </w:rPr>
        <w:t xml:space="preserve">for a period of one year or more </w:t>
      </w:r>
      <w:r w:rsidRPr="00F935D4">
        <w:rPr>
          <w:rStyle w:val="Emphasis"/>
          <w:i w:val="0"/>
        </w:rPr>
        <w:t xml:space="preserve">the staff member </w:t>
      </w:r>
      <w:r w:rsidR="00DF6FD2" w:rsidRPr="00F935D4">
        <w:rPr>
          <w:rStyle w:val="Emphasis"/>
          <w:i w:val="0"/>
        </w:rPr>
        <w:t>may</w:t>
      </w:r>
      <w:r w:rsidRPr="00F935D4">
        <w:rPr>
          <w:rStyle w:val="Emphasis"/>
          <w:i w:val="0"/>
        </w:rPr>
        <w:t xml:space="preserve"> be eligible for the mobility incentive and corresponding amounts</w:t>
      </w:r>
      <w:r w:rsidR="00ED5367" w:rsidRPr="00F935D4">
        <w:rPr>
          <w:rStyle w:val="Emphasis"/>
          <w:i w:val="0"/>
        </w:rPr>
        <w:t xml:space="preserve"> provided all conditions are met</w:t>
      </w:r>
      <w:r w:rsidRPr="00F935D4">
        <w:rPr>
          <w:rStyle w:val="Emphasis"/>
          <w:i w:val="0"/>
        </w:rPr>
        <w:t>.</w:t>
      </w:r>
      <w:r w:rsidR="00ED5367" w:rsidRPr="00F935D4">
        <w:rPr>
          <w:rStyle w:val="Emphasis"/>
          <w:i w:val="0"/>
        </w:rPr>
        <w:t xml:space="preserve">  The mobility allowance shall not be payable in the new duty station.</w:t>
      </w:r>
    </w:p>
    <w:p w:rsidR="00B735DB" w:rsidRPr="00F935D4" w:rsidRDefault="00B735DB" w:rsidP="00A01CA9">
      <w:pPr>
        <w:tabs>
          <w:tab w:val="left" w:pos="720"/>
        </w:tabs>
        <w:ind w:left="360"/>
        <w:rPr>
          <w:rStyle w:val="Emphasis"/>
          <w:i w:val="0"/>
        </w:rPr>
      </w:pPr>
    </w:p>
    <w:p w:rsidR="00B735DB" w:rsidRPr="00F935D4" w:rsidRDefault="00B735DB" w:rsidP="00A01CA9">
      <w:pPr>
        <w:pStyle w:val="ListParagraph"/>
        <w:numPr>
          <w:ilvl w:val="0"/>
          <w:numId w:val="19"/>
        </w:numPr>
        <w:tabs>
          <w:tab w:val="left" w:pos="720"/>
        </w:tabs>
        <w:ind w:firstLine="0"/>
        <w:rPr>
          <w:rStyle w:val="Emphasis"/>
          <w:i w:val="0"/>
        </w:rPr>
      </w:pPr>
      <w:r w:rsidRPr="00F935D4">
        <w:rPr>
          <w:rStyle w:val="Emphasis"/>
          <w:i w:val="0"/>
        </w:rPr>
        <w:t xml:space="preserve">Where a staff member is in receipt of the mobility allowance </w:t>
      </w:r>
      <w:r w:rsidR="00DF6FD2" w:rsidRPr="00F935D4">
        <w:rPr>
          <w:rStyle w:val="Emphasis"/>
          <w:i w:val="0"/>
        </w:rPr>
        <w:t>as a transitional measure</w:t>
      </w:r>
      <w:r w:rsidRPr="00F935D4">
        <w:rPr>
          <w:rStyle w:val="Emphasis"/>
          <w:i w:val="0"/>
        </w:rPr>
        <w:t xml:space="preserve">, a change in the staff member’s personal grade to the P-4, FS-7 and D-1 levels and/or family status will trigger a change in the amount of the </w:t>
      </w:r>
      <w:r w:rsidR="00F237DD">
        <w:rPr>
          <w:rStyle w:val="Emphasis"/>
          <w:i w:val="0"/>
        </w:rPr>
        <w:t>mobility</w:t>
      </w:r>
      <w:r w:rsidRPr="00F935D4">
        <w:rPr>
          <w:rStyle w:val="Emphasis"/>
          <w:i w:val="0"/>
        </w:rPr>
        <w:t xml:space="preserve"> allowance</w:t>
      </w:r>
      <w:r w:rsidR="00F237DD">
        <w:rPr>
          <w:rStyle w:val="Emphasis"/>
          <w:i w:val="0"/>
        </w:rPr>
        <w:t xml:space="preserve"> as of the effective date of change</w:t>
      </w:r>
      <w:r w:rsidRPr="00F935D4">
        <w:rPr>
          <w:rStyle w:val="Emphasis"/>
          <w:i w:val="0"/>
        </w:rPr>
        <w:t>.</w:t>
      </w:r>
    </w:p>
    <w:p w:rsidR="00B735DB" w:rsidRPr="00F935D4" w:rsidRDefault="00B735DB" w:rsidP="00A01CA9">
      <w:pPr>
        <w:tabs>
          <w:tab w:val="left" w:pos="720"/>
        </w:tabs>
        <w:ind w:left="360"/>
        <w:rPr>
          <w:rStyle w:val="Emphasis"/>
          <w:i w:val="0"/>
        </w:rPr>
      </w:pPr>
    </w:p>
    <w:p w:rsidR="00B735DB" w:rsidRPr="006A54A3" w:rsidRDefault="00DF6FD2" w:rsidP="00A01CA9">
      <w:pPr>
        <w:pStyle w:val="ListParagraph"/>
        <w:numPr>
          <w:ilvl w:val="0"/>
          <w:numId w:val="19"/>
        </w:numPr>
        <w:tabs>
          <w:tab w:val="left" w:pos="720"/>
        </w:tabs>
        <w:ind w:firstLine="0"/>
        <w:rPr>
          <w:rStyle w:val="Emphasis"/>
          <w:i w:val="0"/>
        </w:rPr>
      </w:pPr>
      <w:r w:rsidRPr="00943C4C">
        <w:rPr>
          <w:rStyle w:val="Emphasis"/>
          <w:i w:val="0"/>
        </w:rPr>
        <w:t xml:space="preserve">Where a </w:t>
      </w:r>
      <w:r w:rsidR="00B735DB" w:rsidRPr="00943C4C">
        <w:rPr>
          <w:rStyle w:val="Emphasis"/>
          <w:i w:val="0"/>
        </w:rPr>
        <w:t xml:space="preserve">transitional </w:t>
      </w:r>
      <w:r w:rsidRPr="00943C4C">
        <w:rPr>
          <w:rStyle w:val="Emphasis"/>
          <w:i w:val="0"/>
        </w:rPr>
        <w:t>measure</w:t>
      </w:r>
      <w:r w:rsidR="00B735DB" w:rsidRPr="00943C4C">
        <w:rPr>
          <w:rStyle w:val="Emphasis"/>
          <w:i w:val="0"/>
        </w:rPr>
        <w:t xml:space="preserve"> </w:t>
      </w:r>
      <w:r w:rsidRPr="00943C4C">
        <w:rPr>
          <w:rStyle w:val="Emphasis"/>
          <w:i w:val="0"/>
        </w:rPr>
        <w:t xml:space="preserve">is in force </w:t>
      </w:r>
      <w:r w:rsidR="00B735DB" w:rsidRPr="00943C4C">
        <w:rPr>
          <w:rStyle w:val="Emphasis"/>
          <w:i w:val="0"/>
        </w:rPr>
        <w:t xml:space="preserve">and prior to the implementation of the unified salary scale, the payment of the allowance shall be based </w:t>
      </w:r>
      <w:r w:rsidRPr="00943C4C">
        <w:rPr>
          <w:rStyle w:val="Emphasis"/>
          <w:i w:val="0"/>
        </w:rPr>
        <w:t xml:space="preserve">on </w:t>
      </w:r>
      <w:r w:rsidR="00B735DB" w:rsidRPr="00943C4C">
        <w:rPr>
          <w:rStyle w:val="Emphasis"/>
          <w:i w:val="0"/>
        </w:rPr>
        <w:t xml:space="preserve">whether the staff member is receiving salary at the dependent or single rate.  Upon implementation of the unified salary scale, payment of the allowance at the dependent rate shall be based on whether the staff </w:t>
      </w:r>
      <w:r w:rsidR="00B735DB" w:rsidRPr="00943C4C">
        <w:rPr>
          <w:rStyle w:val="Emphasis"/>
          <w:i w:val="0"/>
        </w:rPr>
        <w:lastRenderedPageBreak/>
        <w:t xml:space="preserve">member is in receipt of any one of the following: transitional allowance, spouse allowance, single parent allowance or child allowance.  </w:t>
      </w:r>
    </w:p>
    <w:p w:rsidR="004C6D4C" w:rsidRPr="00F935D4" w:rsidRDefault="004C6D4C" w:rsidP="00F935D4">
      <w:pPr>
        <w:rPr>
          <w:rStyle w:val="Emphasis"/>
          <w:i w:val="0"/>
        </w:rPr>
      </w:pPr>
    </w:p>
    <w:p w:rsidR="004C6D4C" w:rsidRPr="00F935D4" w:rsidRDefault="004C6D4C" w:rsidP="00A01CA9">
      <w:pPr>
        <w:pStyle w:val="ListParagraph"/>
        <w:numPr>
          <w:ilvl w:val="0"/>
          <w:numId w:val="19"/>
        </w:numPr>
        <w:tabs>
          <w:tab w:val="left" w:pos="720"/>
        </w:tabs>
        <w:ind w:firstLine="0"/>
        <w:rPr>
          <w:rStyle w:val="Emphasis"/>
          <w:i w:val="0"/>
        </w:rPr>
      </w:pPr>
      <w:r w:rsidRPr="00F935D4">
        <w:rPr>
          <w:rStyle w:val="Emphasis"/>
          <w:i w:val="0"/>
        </w:rPr>
        <w:t xml:space="preserve">In connection with the transitional measure, periods on special leave without pay of more than 30 days are not included in the five </w:t>
      </w:r>
      <w:r w:rsidR="00ED5367" w:rsidRPr="00F935D4">
        <w:rPr>
          <w:rStyle w:val="Emphasis"/>
          <w:i w:val="0"/>
        </w:rPr>
        <w:t xml:space="preserve">continuous </w:t>
      </w:r>
      <w:r w:rsidRPr="00F935D4">
        <w:rPr>
          <w:rStyle w:val="Emphasis"/>
          <w:i w:val="0"/>
        </w:rPr>
        <w:t xml:space="preserve">year period during which a staff member may be in receipt of the mobility allowance.  </w:t>
      </w:r>
    </w:p>
    <w:p w:rsidR="004C6D4C" w:rsidRPr="00F935D4" w:rsidRDefault="004C6D4C" w:rsidP="00A01CA9">
      <w:pPr>
        <w:tabs>
          <w:tab w:val="left" w:pos="720"/>
        </w:tabs>
        <w:ind w:left="360"/>
        <w:rPr>
          <w:rStyle w:val="Emphasis"/>
          <w:i w:val="0"/>
        </w:rPr>
      </w:pPr>
    </w:p>
    <w:p w:rsidR="004C6D4C" w:rsidRPr="00216846" w:rsidRDefault="00965464" w:rsidP="00A01CA9">
      <w:pPr>
        <w:pStyle w:val="ListParagraph"/>
        <w:numPr>
          <w:ilvl w:val="0"/>
          <w:numId w:val="19"/>
        </w:numPr>
        <w:tabs>
          <w:tab w:val="left" w:pos="720"/>
        </w:tabs>
        <w:ind w:firstLine="0"/>
        <w:rPr>
          <w:rStyle w:val="Emphasis"/>
          <w:i w:val="0"/>
        </w:rPr>
      </w:pPr>
      <w:r w:rsidRPr="00216846">
        <w:rPr>
          <w:rStyle w:val="Emphasis"/>
          <w:i w:val="0"/>
        </w:rPr>
        <w:t xml:space="preserve">Where a </w:t>
      </w:r>
      <w:r w:rsidR="00ED5367" w:rsidRPr="00216846">
        <w:rPr>
          <w:rStyle w:val="Emphasis"/>
          <w:i w:val="0"/>
        </w:rPr>
        <w:t xml:space="preserve">staff member is on assignment to a different duty station for one year or longer, on or after 1 July 2016, </w:t>
      </w:r>
      <w:r w:rsidR="0058510A">
        <w:t>and a lien is maintained against a position at the parent duty station,</w:t>
      </w:r>
      <w:r w:rsidR="0058510A" w:rsidRPr="00216846">
        <w:rPr>
          <w:rStyle w:val="Emphasis"/>
          <w:i w:val="0"/>
        </w:rPr>
        <w:t xml:space="preserve"> </w:t>
      </w:r>
      <w:r w:rsidRPr="00216846">
        <w:rPr>
          <w:rStyle w:val="Emphasis"/>
          <w:i w:val="0"/>
        </w:rPr>
        <w:t xml:space="preserve">he/she </w:t>
      </w:r>
      <w:r w:rsidR="00ED5367" w:rsidRPr="00216846">
        <w:rPr>
          <w:rStyle w:val="Emphasis"/>
          <w:i w:val="0"/>
        </w:rPr>
        <w:t>shall be ineligible for payment of the mobility allowance upon return to the parent duty station.  Upon return to the parent duty station, the staff member may be eligible for the mobility incentive provided all conditions are met</w:t>
      </w:r>
      <w:r w:rsidRPr="00216846">
        <w:rPr>
          <w:rStyle w:val="Emphasis"/>
          <w:i w:val="0"/>
        </w:rPr>
        <w:t>, including that the service is in a duty station classif</w:t>
      </w:r>
      <w:r w:rsidR="00ED5367" w:rsidRPr="00216846">
        <w:rPr>
          <w:rStyle w:val="Emphasis"/>
          <w:i w:val="0"/>
        </w:rPr>
        <w:t xml:space="preserve">ied as A to E. </w:t>
      </w:r>
    </w:p>
    <w:p w:rsidR="00965464" w:rsidRPr="00F935D4" w:rsidRDefault="00965464" w:rsidP="00A01CA9">
      <w:pPr>
        <w:tabs>
          <w:tab w:val="left" w:pos="720"/>
        </w:tabs>
        <w:ind w:left="360"/>
        <w:rPr>
          <w:rStyle w:val="Emphasis"/>
          <w:i w:val="0"/>
        </w:rPr>
      </w:pPr>
    </w:p>
    <w:p w:rsidR="00965464" w:rsidRPr="00F935D4" w:rsidRDefault="00965464" w:rsidP="00A01CA9">
      <w:pPr>
        <w:pStyle w:val="ListParagraph"/>
        <w:numPr>
          <w:ilvl w:val="0"/>
          <w:numId w:val="19"/>
        </w:numPr>
        <w:tabs>
          <w:tab w:val="left" w:pos="720"/>
        </w:tabs>
        <w:ind w:firstLine="0"/>
        <w:rPr>
          <w:rStyle w:val="Emphasis"/>
          <w:i w:val="0"/>
        </w:rPr>
      </w:pPr>
      <w:r w:rsidRPr="00F935D4">
        <w:rPr>
          <w:rStyle w:val="Emphasis"/>
          <w:i w:val="0"/>
        </w:rPr>
        <w:t xml:space="preserve">Where a staff member from a UN common system Organisation is on inter-agency loan or secondment on or after 1 July 2016 and the service is in the same duty station and he/she was in receipt of the mobility allowance in the parent Organisation, he/she shall continue receiving the allowance for the remaining period not to exceed five consecutive years at the same duty station. </w:t>
      </w:r>
    </w:p>
    <w:p w:rsidR="009B2344" w:rsidRPr="00F935D4" w:rsidRDefault="009B2344" w:rsidP="00A01CA9">
      <w:pPr>
        <w:tabs>
          <w:tab w:val="left" w:pos="720"/>
        </w:tabs>
        <w:ind w:left="360"/>
        <w:rPr>
          <w:rStyle w:val="Emphasis"/>
          <w:i w:val="0"/>
        </w:rPr>
      </w:pPr>
    </w:p>
    <w:p w:rsidR="009B2344" w:rsidRPr="00F935D4" w:rsidRDefault="009B2344" w:rsidP="00A01CA9">
      <w:pPr>
        <w:pStyle w:val="ListParagraph"/>
        <w:numPr>
          <w:ilvl w:val="0"/>
          <w:numId w:val="19"/>
        </w:numPr>
        <w:tabs>
          <w:tab w:val="left" w:pos="720"/>
        </w:tabs>
        <w:ind w:firstLine="0"/>
        <w:rPr>
          <w:rStyle w:val="Emphasis"/>
          <w:i w:val="0"/>
        </w:rPr>
      </w:pPr>
      <w:r w:rsidRPr="00F935D4">
        <w:rPr>
          <w:rStyle w:val="Emphasis"/>
          <w:i w:val="0"/>
        </w:rPr>
        <w:t>Where a staff member from a UN common system Organisation is on inter-agency secondment or transfer or loan on or after 1 July 2016 and the service is in a different duty station, he/she may be eligible for the mobility incentive provided all conditions are met.</w:t>
      </w:r>
    </w:p>
    <w:p w:rsidR="00B735DB" w:rsidRPr="00F935D4" w:rsidRDefault="00B735DB" w:rsidP="0016598F">
      <w:pPr>
        <w:rPr>
          <w:rStyle w:val="Emphasis"/>
          <w:i w:val="0"/>
        </w:rPr>
      </w:pPr>
    </w:p>
    <w:p w:rsidR="00B735DB" w:rsidRPr="0016598F" w:rsidRDefault="00B735DB" w:rsidP="00F935D4">
      <w:pPr>
        <w:pStyle w:val="ListParagraph"/>
        <w:numPr>
          <w:ilvl w:val="0"/>
          <w:numId w:val="18"/>
        </w:numPr>
        <w:rPr>
          <w:rStyle w:val="Emphasis"/>
          <w:b/>
          <w:i w:val="0"/>
        </w:rPr>
      </w:pPr>
      <w:r w:rsidRPr="0016598F">
        <w:rPr>
          <w:rStyle w:val="Emphasis"/>
          <w:b/>
          <w:i w:val="0"/>
        </w:rPr>
        <w:t>Non-removal allowance</w:t>
      </w:r>
    </w:p>
    <w:p w:rsidR="00B735DB" w:rsidRPr="00F935D4" w:rsidRDefault="00B735DB" w:rsidP="00F935D4">
      <w:pPr>
        <w:rPr>
          <w:rStyle w:val="Emphasis"/>
          <w:i w:val="0"/>
        </w:rPr>
      </w:pPr>
    </w:p>
    <w:p w:rsidR="00B735DB" w:rsidRPr="00F935D4" w:rsidRDefault="00B735DB" w:rsidP="00A01CA9">
      <w:pPr>
        <w:pStyle w:val="ListParagraph"/>
        <w:numPr>
          <w:ilvl w:val="0"/>
          <w:numId w:val="19"/>
        </w:numPr>
        <w:tabs>
          <w:tab w:val="left" w:pos="720"/>
        </w:tabs>
        <w:ind w:firstLine="0"/>
        <w:rPr>
          <w:rStyle w:val="Emphasis"/>
          <w:i w:val="0"/>
        </w:rPr>
      </w:pPr>
      <w:r w:rsidRPr="00F935D4">
        <w:rPr>
          <w:rStyle w:val="Emphasis"/>
          <w:i w:val="0"/>
        </w:rPr>
        <w:t>Effective 1 July 2016, the non-removal element of the mobility and hardship scheme is discontinued.  The non-removal allowance shall no longer be available to staff members in the professional and higher categories</w:t>
      </w:r>
      <w:r w:rsidR="00865471">
        <w:rPr>
          <w:rStyle w:val="Emphasis"/>
          <w:i w:val="0"/>
        </w:rPr>
        <w:t>,</w:t>
      </w:r>
      <w:r w:rsidRPr="00F935D4">
        <w:rPr>
          <w:rStyle w:val="Emphasis"/>
          <w:i w:val="0"/>
        </w:rPr>
        <w:t xml:space="preserve"> field service category </w:t>
      </w:r>
      <w:r w:rsidR="00865471">
        <w:rPr>
          <w:rStyle w:val="Emphasis"/>
          <w:i w:val="0"/>
        </w:rPr>
        <w:t xml:space="preserve">and internationally recruited general service staff </w:t>
      </w:r>
      <w:r w:rsidR="00865471" w:rsidRPr="00F935D4">
        <w:rPr>
          <w:rStyle w:val="Emphasis"/>
          <w:i w:val="0"/>
        </w:rPr>
        <w:t xml:space="preserve">holding </w:t>
      </w:r>
      <w:r w:rsidRPr="00F935D4">
        <w:rPr>
          <w:rStyle w:val="Emphasis"/>
          <w:i w:val="0"/>
        </w:rPr>
        <w:t>a fixed-term, continuing or permanent appointment and appointed/ assigned/transferred/reassigned to a duty station for a period of one year or longer on or after 1 July 2016 and opt for unaccompanied shipment of personal effects and household goods.  Discontinuation of the non-removal allowance will be implemented on 1 November 2016 with an effective date of 1 July 2016.</w:t>
      </w:r>
    </w:p>
    <w:p w:rsidR="00B735DB" w:rsidRPr="00F935D4" w:rsidRDefault="00B735DB" w:rsidP="00A01CA9">
      <w:pPr>
        <w:tabs>
          <w:tab w:val="left" w:pos="720"/>
        </w:tabs>
        <w:ind w:left="360"/>
        <w:rPr>
          <w:rStyle w:val="Emphasis"/>
          <w:i w:val="0"/>
        </w:rPr>
      </w:pPr>
    </w:p>
    <w:p w:rsidR="00B735DB" w:rsidRPr="0016598F" w:rsidRDefault="00B735DB" w:rsidP="0092400F">
      <w:pPr>
        <w:ind w:left="720"/>
        <w:rPr>
          <w:rStyle w:val="Emphasis"/>
          <w:b/>
        </w:rPr>
      </w:pPr>
      <w:r w:rsidRPr="0016598F">
        <w:rPr>
          <w:rStyle w:val="Emphasis"/>
          <w:b/>
        </w:rPr>
        <w:t>Transitional measure</w:t>
      </w:r>
    </w:p>
    <w:p w:rsidR="00B735DB" w:rsidRPr="00F935D4" w:rsidRDefault="00B735DB" w:rsidP="0060396A">
      <w:pPr>
        <w:rPr>
          <w:rStyle w:val="Emphasis"/>
          <w:i w:val="0"/>
        </w:rPr>
      </w:pPr>
    </w:p>
    <w:p w:rsidR="00B735DB" w:rsidRPr="00F935D4" w:rsidRDefault="00B735DB" w:rsidP="00A01CA9">
      <w:pPr>
        <w:pStyle w:val="ListParagraph"/>
        <w:numPr>
          <w:ilvl w:val="0"/>
          <w:numId w:val="19"/>
        </w:numPr>
        <w:tabs>
          <w:tab w:val="left" w:pos="720"/>
        </w:tabs>
        <w:ind w:firstLine="0"/>
        <w:rPr>
          <w:rStyle w:val="Emphasis"/>
          <w:i w:val="0"/>
        </w:rPr>
      </w:pPr>
      <w:r w:rsidRPr="00F935D4">
        <w:rPr>
          <w:rStyle w:val="Emphasis"/>
          <w:i w:val="0"/>
        </w:rPr>
        <w:t>As a transitional measure, staff members in the professional and higher categories and field service category</w:t>
      </w:r>
      <w:r w:rsidR="00A8465A">
        <w:rPr>
          <w:rStyle w:val="Emphasis"/>
          <w:i w:val="0"/>
        </w:rPr>
        <w:t xml:space="preserve"> and</w:t>
      </w:r>
      <w:r w:rsidRPr="00F935D4">
        <w:rPr>
          <w:rStyle w:val="Emphasis"/>
          <w:i w:val="0"/>
        </w:rPr>
        <w:t xml:space="preserve"> </w:t>
      </w:r>
      <w:r w:rsidR="00A8465A">
        <w:rPr>
          <w:rStyle w:val="Emphasis"/>
          <w:i w:val="0"/>
        </w:rPr>
        <w:t>internationally recruited general service staff</w:t>
      </w:r>
      <w:r w:rsidR="00A8465A" w:rsidRPr="00F935D4">
        <w:rPr>
          <w:rStyle w:val="Emphasis"/>
          <w:i w:val="0"/>
        </w:rPr>
        <w:t xml:space="preserve"> </w:t>
      </w:r>
      <w:r w:rsidRPr="00F935D4">
        <w:rPr>
          <w:rStyle w:val="Emphasis"/>
          <w:i w:val="0"/>
        </w:rPr>
        <w:t xml:space="preserve">holding a fixed-term, continuing or permanent appointment </w:t>
      </w:r>
      <w:r w:rsidR="007300EB">
        <w:rPr>
          <w:rStyle w:val="Emphasis"/>
          <w:i w:val="0"/>
        </w:rPr>
        <w:t>who are</w:t>
      </w:r>
      <w:r w:rsidRPr="00F935D4">
        <w:rPr>
          <w:rStyle w:val="Emphasis"/>
          <w:i w:val="0"/>
        </w:rPr>
        <w:t xml:space="preserve"> appointed/assigned/transferred/reassigned for a period of one year or longer prior to 1 July 2016 and who opt for non-removal of personal effects </w:t>
      </w:r>
      <w:r w:rsidR="00A05719">
        <w:rPr>
          <w:rStyle w:val="Emphasis"/>
          <w:i w:val="0"/>
        </w:rPr>
        <w:t xml:space="preserve">and household goods </w:t>
      </w:r>
      <w:r w:rsidRPr="00F935D4">
        <w:rPr>
          <w:rStyle w:val="Emphasis"/>
          <w:i w:val="0"/>
        </w:rPr>
        <w:t>shall continue to receive the non-removal allowance for up to five years of consecutive service in the same duty station</w:t>
      </w:r>
      <w:r w:rsidR="007300EB">
        <w:rPr>
          <w:rStyle w:val="Emphasis"/>
          <w:i w:val="0"/>
        </w:rPr>
        <w:t xml:space="preserve"> </w:t>
      </w:r>
      <w:r w:rsidRPr="00F935D4">
        <w:rPr>
          <w:rStyle w:val="Emphasis"/>
          <w:i w:val="0"/>
        </w:rPr>
        <w:t xml:space="preserve"> or until he/she moves to a different duty station</w:t>
      </w:r>
      <w:r w:rsidR="009529C5">
        <w:rPr>
          <w:rStyle w:val="Emphasis"/>
          <w:i w:val="0"/>
        </w:rPr>
        <w:t xml:space="preserve"> for a period of one year or longer</w:t>
      </w:r>
      <w:r w:rsidR="007300EB">
        <w:rPr>
          <w:rStyle w:val="Emphasis"/>
          <w:i w:val="0"/>
        </w:rPr>
        <w:t>, whichever is earlier</w:t>
      </w:r>
      <w:r w:rsidRPr="00F935D4">
        <w:rPr>
          <w:rStyle w:val="Emphasis"/>
          <w:i w:val="0"/>
        </w:rPr>
        <w:t>.</w:t>
      </w:r>
    </w:p>
    <w:p w:rsidR="00B735DB" w:rsidRPr="00F935D4" w:rsidRDefault="00B735DB" w:rsidP="00A01CA9">
      <w:pPr>
        <w:tabs>
          <w:tab w:val="left" w:pos="720"/>
        </w:tabs>
        <w:ind w:left="360"/>
        <w:rPr>
          <w:rStyle w:val="Emphasis"/>
          <w:i w:val="0"/>
        </w:rPr>
      </w:pPr>
    </w:p>
    <w:p w:rsidR="00B735DB" w:rsidRPr="00F935D4" w:rsidRDefault="00B735DB" w:rsidP="00A01CA9">
      <w:pPr>
        <w:pStyle w:val="ListParagraph"/>
        <w:numPr>
          <w:ilvl w:val="0"/>
          <w:numId w:val="19"/>
        </w:numPr>
        <w:tabs>
          <w:tab w:val="left" w:pos="720"/>
        </w:tabs>
        <w:ind w:firstLine="0"/>
        <w:rPr>
          <w:rStyle w:val="Emphasis"/>
          <w:i w:val="0"/>
        </w:rPr>
      </w:pPr>
      <w:r w:rsidRPr="00F935D4">
        <w:rPr>
          <w:rStyle w:val="Emphasis"/>
          <w:i w:val="0"/>
        </w:rPr>
        <w:lastRenderedPageBreak/>
        <w:t>During the transitional period, the non-removal allowance amounts in effect as of 30 June 2016 COB shall remain applicable as per table below.</w:t>
      </w:r>
    </w:p>
    <w:p w:rsidR="00B735DB" w:rsidRPr="00F935D4" w:rsidRDefault="00B735DB" w:rsidP="0016598F">
      <w:pPr>
        <w:rPr>
          <w:rStyle w:val="Emphasis"/>
          <w:i w:val="0"/>
        </w:rPr>
      </w:pPr>
    </w:p>
    <w:p w:rsidR="00B735DB" w:rsidRPr="00543FDC" w:rsidRDefault="00B735DB" w:rsidP="0060396A">
      <w:pPr>
        <w:ind w:left="720"/>
        <w:rPr>
          <w:rStyle w:val="Emphasis"/>
          <w:i w:val="0"/>
          <w:sz w:val="16"/>
          <w:szCs w:val="16"/>
        </w:rPr>
      </w:pPr>
      <w:r w:rsidRPr="00543FDC">
        <w:rPr>
          <w:rStyle w:val="Emphasis"/>
          <w:i w:val="0"/>
          <w:sz w:val="16"/>
          <w:szCs w:val="16"/>
        </w:rPr>
        <w:t>Non-removal allowance as of 30 June 2016</w:t>
      </w:r>
    </w:p>
    <w:p w:rsidR="00B735DB" w:rsidRDefault="00B735DB" w:rsidP="0060396A">
      <w:pPr>
        <w:ind w:left="720"/>
        <w:rPr>
          <w:rStyle w:val="Emphasis"/>
          <w:i w:val="0"/>
          <w:sz w:val="16"/>
          <w:szCs w:val="16"/>
        </w:rPr>
      </w:pPr>
      <w:r w:rsidRPr="00543FDC">
        <w:rPr>
          <w:rStyle w:val="Emphasis"/>
          <w:i w:val="0"/>
          <w:sz w:val="16"/>
          <w:szCs w:val="16"/>
        </w:rPr>
        <w:t>(Annual amounts in United States dollars)</w:t>
      </w:r>
    </w:p>
    <w:p w:rsidR="00B735DB" w:rsidRPr="00F935D4" w:rsidRDefault="008435BF" w:rsidP="0060396A">
      <w:pPr>
        <w:ind w:firstLine="720"/>
        <w:rPr>
          <w:rStyle w:val="Emphasis"/>
          <w:i w:val="0"/>
        </w:rPr>
      </w:pPr>
      <w:r>
        <w:rPr>
          <w:noProof/>
          <w:lang w:eastAsia="en-GB"/>
        </w:rPr>
        <w:drawing>
          <wp:inline distT="0" distB="0" distL="0" distR="0" wp14:anchorId="53ADAE18" wp14:editId="48FCBF30">
            <wp:extent cx="4667416" cy="179699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4666667" cy="1796707"/>
                    </a:xfrm>
                    <a:prstGeom prst="rect">
                      <a:avLst/>
                    </a:prstGeom>
                  </pic:spPr>
                </pic:pic>
              </a:graphicData>
            </a:graphic>
          </wp:inline>
        </w:drawing>
      </w:r>
    </w:p>
    <w:p w:rsidR="00B735DB" w:rsidRPr="00F935D4" w:rsidRDefault="00B735DB" w:rsidP="0016598F">
      <w:pPr>
        <w:rPr>
          <w:rStyle w:val="Emphasis"/>
          <w:i w:val="0"/>
        </w:rPr>
      </w:pPr>
    </w:p>
    <w:p w:rsidR="00B735DB" w:rsidRPr="00F935D4" w:rsidRDefault="00B735DB" w:rsidP="00A01CA9">
      <w:pPr>
        <w:pStyle w:val="ListParagraph"/>
        <w:numPr>
          <w:ilvl w:val="0"/>
          <w:numId w:val="19"/>
        </w:numPr>
        <w:tabs>
          <w:tab w:val="left" w:pos="720"/>
        </w:tabs>
        <w:ind w:firstLine="0"/>
        <w:rPr>
          <w:rStyle w:val="Emphasis"/>
          <w:i w:val="0"/>
        </w:rPr>
      </w:pPr>
      <w:r w:rsidRPr="00F935D4">
        <w:rPr>
          <w:rStyle w:val="Emphasis"/>
          <w:i w:val="0"/>
        </w:rPr>
        <w:t xml:space="preserve">Where a staff member is in receipt of the non-removal allowance during the transitional period, a change in the staff member’s personal grade to the P-4, FS-7 and D-1 levels and/or family status will trigger a change in the amount of the </w:t>
      </w:r>
      <w:r w:rsidR="00490669">
        <w:rPr>
          <w:rStyle w:val="Emphasis"/>
          <w:i w:val="0"/>
        </w:rPr>
        <w:t>non-removal</w:t>
      </w:r>
      <w:r w:rsidRPr="00F935D4">
        <w:rPr>
          <w:rStyle w:val="Emphasis"/>
          <w:i w:val="0"/>
        </w:rPr>
        <w:t xml:space="preserve"> allowance</w:t>
      </w:r>
      <w:r w:rsidR="00490669">
        <w:rPr>
          <w:rStyle w:val="Emphasis"/>
          <w:i w:val="0"/>
        </w:rPr>
        <w:t>, as appropriate, as of the effective date of the change</w:t>
      </w:r>
      <w:r w:rsidRPr="00F935D4">
        <w:rPr>
          <w:rStyle w:val="Emphasis"/>
          <w:i w:val="0"/>
        </w:rPr>
        <w:t>.</w:t>
      </w:r>
    </w:p>
    <w:p w:rsidR="00B735DB" w:rsidRPr="00F935D4" w:rsidRDefault="00B735DB" w:rsidP="00A01CA9">
      <w:pPr>
        <w:tabs>
          <w:tab w:val="left" w:pos="720"/>
        </w:tabs>
        <w:ind w:left="360"/>
        <w:rPr>
          <w:rStyle w:val="Emphasis"/>
          <w:i w:val="0"/>
        </w:rPr>
      </w:pPr>
    </w:p>
    <w:p w:rsidR="00B735DB" w:rsidRPr="00F935D4" w:rsidRDefault="00B735DB" w:rsidP="00A01CA9">
      <w:pPr>
        <w:pStyle w:val="ListParagraph"/>
        <w:numPr>
          <w:ilvl w:val="0"/>
          <w:numId w:val="19"/>
        </w:numPr>
        <w:tabs>
          <w:tab w:val="left" w:pos="720"/>
        </w:tabs>
        <w:ind w:firstLine="0"/>
        <w:rPr>
          <w:rStyle w:val="Emphasis"/>
          <w:i w:val="0"/>
        </w:rPr>
      </w:pPr>
      <w:r w:rsidRPr="00F935D4">
        <w:rPr>
          <w:rStyle w:val="Emphasis"/>
          <w:i w:val="0"/>
        </w:rPr>
        <w:t>During the transitional period and prior to the implementation of the unified salary scale, the payment of the allowance shall be based whether the staff member is receiving salary at the dependent or single rate.  Upon implementation of the unified salary scale, payment of the allowance at the dependent rate shall be based on whether the staff member is in receipt of any one of the following: transitional allowance, spouse allowance, single parent allowance or child allowance.</w:t>
      </w:r>
    </w:p>
    <w:p w:rsidR="00B735DB" w:rsidRPr="00F935D4" w:rsidRDefault="00B735DB" w:rsidP="00A01CA9">
      <w:pPr>
        <w:tabs>
          <w:tab w:val="left" w:pos="720"/>
        </w:tabs>
        <w:ind w:left="360"/>
        <w:rPr>
          <w:rStyle w:val="Emphasis"/>
          <w:i w:val="0"/>
        </w:rPr>
      </w:pPr>
    </w:p>
    <w:p w:rsidR="00B735DB" w:rsidRPr="00F935D4" w:rsidRDefault="00B735DB" w:rsidP="00A01CA9">
      <w:pPr>
        <w:pStyle w:val="ListParagraph"/>
        <w:numPr>
          <w:ilvl w:val="0"/>
          <w:numId w:val="19"/>
        </w:numPr>
        <w:tabs>
          <w:tab w:val="left" w:pos="720"/>
        </w:tabs>
        <w:ind w:firstLine="0"/>
        <w:rPr>
          <w:rStyle w:val="Emphasis"/>
          <w:i w:val="0"/>
        </w:rPr>
      </w:pPr>
      <w:r w:rsidRPr="00F935D4">
        <w:rPr>
          <w:rStyle w:val="Emphasis"/>
          <w:i w:val="0"/>
        </w:rPr>
        <w:t>During the transitional period, the non-removal allowance shall cease when a staff member is in receipt of the allowance and proceeds on assignment to another duty station for a period of one year or longer and maintains a lien against a post in the parent duty station.  The non-removal allowance shall not be payable upon completion of the assignment and return to the parent duty station.</w:t>
      </w:r>
    </w:p>
    <w:p w:rsidR="00B735DB" w:rsidRPr="00F935D4" w:rsidRDefault="00B735DB" w:rsidP="00A01CA9">
      <w:pPr>
        <w:tabs>
          <w:tab w:val="left" w:pos="720"/>
        </w:tabs>
        <w:ind w:left="360"/>
        <w:rPr>
          <w:rStyle w:val="Emphasis"/>
          <w:i w:val="0"/>
        </w:rPr>
      </w:pPr>
    </w:p>
    <w:p w:rsidR="00B735DB" w:rsidRPr="00555171" w:rsidRDefault="007F71BC" w:rsidP="00555171">
      <w:pPr>
        <w:pStyle w:val="ListParagraph"/>
        <w:numPr>
          <w:ilvl w:val="0"/>
          <w:numId w:val="19"/>
        </w:numPr>
        <w:tabs>
          <w:tab w:val="left" w:pos="720"/>
        </w:tabs>
        <w:ind w:firstLine="0"/>
        <w:rPr>
          <w:rStyle w:val="Emphasis"/>
          <w:i w:val="0"/>
        </w:rPr>
      </w:pPr>
      <w:r w:rsidRPr="00555171">
        <w:rPr>
          <w:rStyle w:val="Emphasis"/>
          <w:i w:val="0"/>
        </w:rPr>
        <w:t xml:space="preserve">During the transitional period, where a staff member in receipt of the non-removal allowance at the parent duty station proceeds on temporary assignment to another duty station for a period of less than one year and maintains a lien against a post in the parent office, the non-removal allowance shall be suspended </w:t>
      </w:r>
      <w:r>
        <w:rPr>
          <w:rStyle w:val="Emphasis"/>
          <w:i w:val="0"/>
        </w:rPr>
        <w:t xml:space="preserve">for the duration of the temporary assignment </w:t>
      </w:r>
      <w:r w:rsidRPr="00555171">
        <w:rPr>
          <w:rStyle w:val="Emphasis"/>
          <w:i w:val="0"/>
        </w:rPr>
        <w:t xml:space="preserve">and payment shall resume upon return to the parent duty station.  </w:t>
      </w:r>
      <w:r w:rsidR="00555171" w:rsidRPr="00555171">
        <w:rPr>
          <w:rStyle w:val="Emphasis"/>
          <w:i w:val="0"/>
        </w:rPr>
        <w:t>The period of payment of the non-removal allowance shall be extended, as appropriate, by the same period that the staff member was on temporary assignment subject to the maximum period of payment of the allowance of five years at the same duty station including the period prior to and after the temporary assignment</w:t>
      </w:r>
      <w:r w:rsidR="00B735DB" w:rsidRPr="00555171">
        <w:rPr>
          <w:rStyle w:val="Emphasis"/>
          <w:i w:val="0"/>
        </w:rPr>
        <w:t xml:space="preserve">.  </w:t>
      </w:r>
    </w:p>
    <w:p w:rsidR="00B735DB" w:rsidRPr="00F935D4" w:rsidRDefault="00B735DB" w:rsidP="00A01CA9">
      <w:pPr>
        <w:tabs>
          <w:tab w:val="left" w:pos="720"/>
        </w:tabs>
        <w:ind w:left="360"/>
        <w:rPr>
          <w:rStyle w:val="Emphasis"/>
          <w:i w:val="0"/>
        </w:rPr>
      </w:pPr>
    </w:p>
    <w:p w:rsidR="00B735DB" w:rsidRPr="00F935D4" w:rsidRDefault="00B735DB" w:rsidP="00A01CA9">
      <w:pPr>
        <w:pStyle w:val="ListParagraph"/>
        <w:numPr>
          <w:ilvl w:val="0"/>
          <w:numId w:val="19"/>
        </w:numPr>
        <w:tabs>
          <w:tab w:val="left" w:pos="720"/>
        </w:tabs>
        <w:ind w:firstLine="0"/>
        <w:rPr>
          <w:rStyle w:val="Emphasis"/>
          <w:i w:val="0"/>
        </w:rPr>
      </w:pPr>
      <w:r w:rsidRPr="00F935D4">
        <w:rPr>
          <w:rStyle w:val="Emphasis"/>
          <w:i w:val="0"/>
        </w:rPr>
        <w:t>Where a staff member is on temporary assignment to a different duty station prior to 1 July 2016 and the assignment is for a period of less than one year and he/she is in receipt of non-removal</w:t>
      </w:r>
      <w:r w:rsidR="0033468C">
        <w:rPr>
          <w:rStyle w:val="Emphasis"/>
          <w:i w:val="0"/>
        </w:rPr>
        <w:t xml:space="preserve"> allowance</w:t>
      </w:r>
      <w:r w:rsidRPr="00F935D4">
        <w:rPr>
          <w:rStyle w:val="Emphasis"/>
          <w:i w:val="0"/>
        </w:rPr>
        <w:t xml:space="preserve"> at the parent duty station, the allowance shall </w:t>
      </w:r>
      <w:r w:rsidR="009529C5">
        <w:rPr>
          <w:rStyle w:val="Emphasis"/>
          <w:i w:val="0"/>
        </w:rPr>
        <w:t xml:space="preserve">be suspended for the </w:t>
      </w:r>
      <w:r w:rsidR="009529C5">
        <w:rPr>
          <w:rStyle w:val="Emphasis"/>
          <w:i w:val="0"/>
        </w:rPr>
        <w:lastRenderedPageBreak/>
        <w:t>duration of the temporary assignment</w:t>
      </w:r>
      <w:r w:rsidRPr="00F935D4">
        <w:rPr>
          <w:rStyle w:val="Emphasis"/>
          <w:i w:val="0"/>
        </w:rPr>
        <w:t xml:space="preserve">.  However, where the temporary assignment is subsequently extended to reach a period of one year or longer, the allowance </w:t>
      </w:r>
      <w:r w:rsidR="009529C5">
        <w:rPr>
          <w:rStyle w:val="Emphasis"/>
          <w:i w:val="0"/>
        </w:rPr>
        <w:t xml:space="preserve">is not payable upon return to the parent duty station. </w:t>
      </w:r>
    </w:p>
    <w:p w:rsidR="00B735DB" w:rsidRPr="00F935D4" w:rsidRDefault="00B735DB" w:rsidP="00A01CA9">
      <w:pPr>
        <w:tabs>
          <w:tab w:val="left" w:pos="720"/>
        </w:tabs>
        <w:ind w:left="360"/>
        <w:rPr>
          <w:rStyle w:val="Emphasis"/>
          <w:i w:val="0"/>
        </w:rPr>
      </w:pPr>
    </w:p>
    <w:p w:rsidR="00B735DB" w:rsidRPr="00F935D4" w:rsidRDefault="00B735DB" w:rsidP="00A01CA9">
      <w:pPr>
        <w:pStyle w:val="ListParagraph"/>
        <w:numPr>
          <w:ilvl w:val="0"/>
          <w:numId w:val="19"/>
        </w:numPr>
        <w:tabs>
          <w:tab w:val="left" w:pos="720"/>
        </w:tabs>
        <w:ind w:firstLine="0"/>
        <w:rPr>
          <w:rStyle w:val="Emphasis"/>
          <w:i w:val="0"/>
        </w:rPr>
      </w:pPr>
      <w:r w:rsidRPr="00F935D4">
        <w:rPr>
          <w:rStyle w:val="Emphasis"/>
          <w:i w:val="0"/>
        </w:rPr>
        <w:t>Where a staff member is in receipt of the non-removal allowance and proceeds on special leave without pay for a period of more than thirty days during the transitional period, the allowance will be discontinued for the duration of the period on special leave without pay.  Upon return from special leave to the same duty station, the period of payment of the non-removal allowance shall be extended, as appropriate, by the same period that the staff member was on special leave without pay subject to the maximum period of payment of the allowance of five consecutive years including the period prior to and after the special leave without pay at the same duty station.</w:t>
      </w:r>
    </w:p>
    <w:p w:rsidR="00B735DB" w:rsidRPr="00F935D4" w:rsidRDefault="00B735DB" w:rsidP="00A01CA9">
      <w:pPr>
        <w:tabs>
          <w:tab w:val="left" w:pos="720"/>
        </w:tabs>
        <w:ind w:left="360"/>
        <w:rPr>
          <w:rStyle w:val="Emphasis"/>
          <w:i w:val="0"/>
        </w:rPr>
      </w:pPr>
    </w:p>
    <w:p w:rsidR="00B735DB" w:rsidRPr="00F935D4" w:rsidRDefault="00B735DB" w:rsidP="00A01CA9">
      <w:pPr>
        <w:pStyle w:val="ListParagraph"/>
        <w:numPr>
          <w:ilvl w:val="0"/>
          <w:numId w:val="19"/>
        </w:numPr>
        <w:tabs>
          <w:tab w:val="left" w:pos="720"/>
        </w:tabs>
        <w:ind w:firstLine="0"/>
        <w:rPr>
          <w:rStyle w:val="Emphasis"/>
          <w:i w:val="0"/>
        </w:rPr>
      </w:pPr>
      <w:r w:rsidRPr="00F935D4">
        <w:rPr>
          <w:rStyle w:val="Emphasis"/>
          <w:i w:val="0"/>
        </w:rPr>
        <w:t>Where a staff member from a UN common system Organisation is on inter-agency loan or secondment on or after 1 July 2016 and the service is in the same duty station and he/she was in receipt of the non-removal allowance in the parent Organisation, he/she shall continue receiving the allowance for the remaining period not to exceed five consecutive years at the same duty station.</w:t>
      </w:r>
    </w:p>
    <w:p w:rsidR="00B735DB" w:rsidRPr="00F935D4" w:rsidRDefault="00B735DB" w:rsidP="00F935D4">
      <w:pPr>
        <w:rPr>
          <w:rStyle w:val="Emphasis"/>
          <w:i w:val="0"/>
        </w:rPr>
      </w:pPr>
    </w:p>
    <w:p w:rsidR="00B735DB" w:rsidRDefault="00B735DB" w:rsidP="00F935D4">
      <w:pPr>
        <w:pStyle w:val="ListParagraph"/>
        <w:numPr>
          <w:ilvl w:val="0"/>
          <w:numId w:val="18"/>
        </w:numPr>
        <w:rPr>
          <w:rStyle w:val="Emphasis"/>
          <w:b/>
          <w:i w:val="0"/>
        </w:rPr>
      </w:pPr>
      <w:r w:rsidRPr="0016598F">
        <w:rPr>
          <w:rStyle w:val="Emphasis"/>
          <w:b/>
          <w:i w:val="0"/>
        </w:rPr>
        <w:t>Repatriation Grant</w:t>
      </w:r>
    </w:p>
    <w:p w:rsidR="008435BF" w:rsidRPr="0016598F" w:rsidRDefault="008435BF" w:rsidP="0060396A">
      <w:pPr>
        <w:pStyle w:val="ListParagraph"/>
        <w:ind w:left="1080"/>
        <w:rPr>
          <w:rStyle w:val="Emphasis"/>
          <w:b/>
          <w:i w:val="0"/>
        </w:rPr>
      </w:pPr>
    </w:p>
    <w:p w:rsidR="00752C75" w:rsidRPr="00F935D4" w:rsidRDefault="00752C75" w:rsidP="00A01CA9">
      <w:pPr>
        <w:pStyle w:val="ListParagraph"/>
        <w:numPr>
          <w:ilvl w:val="0"/>
          <w:numId w:val="19"/>
        </w:numPr>
        <w:tabs>
          <w:tab w:val="left" w:pos="720"/>
        </w:tabs>
        <w:ind w:firstLine="0"/>
        <w:rPr>
          <w:rStyle w:val="Emphasis"/>
          <w:i w:val="0"/>
        </w:rPr>
      </w:pPr>
      <w:r w:rsidRPr="00F935D4">
        <w:rPr>
          <w:rStyle w:val="Emphasis"/>
          <w:i w:val="0"/>
        </w:rPr>
        <w:t xml:space="preserve">A repatriation grant is payable to internationally recruited staff members in recognition of service outside of the home country and aimed at assisting such staff members serving outside of their home country in re-establishing themselves after leaving </w:t>
      </w:r>
      <w:r w:rsidR="00C20168" w:rsidRPr="00F935D4">
        <w:rPr>
          <w:rStyle w:val="Emphasis"/>
          <w:i w:val="0"/>
        </w:rPr>
        <w:t xml:space="preserve">the </w:t>
      </w:r>
      <w:r w:rsidRPr="00F935D4">
        <w:rPr>
          <w:rStyle w:val="Emphasis"/>
          <w:i w:val="0"/>
        </w:rPr>
        <w:t>country of the last duty station of assignment upon separation.</w:t>
      </w:r>
    </w:p>
    <w:p w:rsidR="00651B04" w:rsidRPr="00F935D4" w:rsidRDefault="00651B04" w:rsidP="00A01CA9">
      <w:pPr>
        <w:tabs>
          <w:tab w:val="left" w:pos="720"/>
        </w:tabs>
        <w:ind w:left="360"/>
        <w:rPr>
          <w:rStyle w:val="Emphasis"/>
          <w:i w:val="0"/>
        </w:rPr>
      </w:pPr>
    </w:p>
    <w:p w:rsidR="00651B04" w:rsidRPr="00F935D4" w:rsidRDefault="00651B04" w:rsidP="00A01CA9">
      <w:pPr>
        <w:pStyle w:val="ListParagraph"/>
        <w:numPr>
          <w:ilvl w:val="0"/>
          <w:numId w:val="19"/>
        </w:numPr>
        <w:tabs>
          <w:tab w:val="left" w:pos="720"/>
        </w:tabs>
        <w:ind w:firstLine="0"/>
        <w:rPr>
          <w:rStyle w:val="Emphasis"/>
          <w:i w:val="0"/>
        </w:rPr>
      </w:pPr>
      <w:r w:rsidRPr="00F935D4">
        <w:rPr>
          <w:rStyle w:val="Emphasis"/>
          <w:i w:val="0"/>
        </w:rPr>
        <w:t>Effective 1 July 2016, the repatriation grant will be payable to staff members in the professional and higher categories and field service category holding a fixed-term, continuing or permanent appointment and who have completed a minimum of five years of continuous service. The grant payable is based on the revised Annex IV to the Staff Regulations effective 1 July 2016 as reflected below.</w:t>
      </w:r>
    </w:p>
    <w:p w:rsidR="00651B04" w:rsidRPr="00F935D4" w:rsidRDefault="00651B04" w:rsidP="00A01CA9">
      <w:pPr>
        <w:tabs>
          <w:tab w:val="left" w:pos="720"/>
        </w:tabs>
        <w:ind w:left="360"/>
        <w:rPr>
          <w:rStyle w:val="Emphasis"/>
          <w:i w:val="0"/>
        </w:rPr>
      </w:pPr>
    </w:p>
    <w:p w:rsidR="00651B04" w:rsidRPr="00F935D4" w:rsidRDefault="00651B04" w:rsidP="00A01CA9">
      <w:pPr>
        <w:pStyle w:val="ListParagraph"/>
        <w:numPr>
          <w:ilvl w:val="0"/>
          <w:numId w:val="19"/>
        </w:numPr>
        <w:tabs>
          <w:tab w:val="left" w:pos="720"/>
        </w:tabs>
        <w:ind w:firstLine="0"/>
        <w:rPr>
          <w:rStyle w:val="Emphasis"/>
          <w:i w:val="0"/>
        </w:rPr>
      </w:pPr>
      <w:r w:rsidRPr="00F935D4">
        <w:rPr>
          <w:rStyle w:val="Emphasis"/>
          <w:i w:val="0"/>
        </w:rPr>
        <w:t>A staff member on board prior to 1 July 2016 and who subsequently separates from the Organisation with 5 years or more of continuous service shall be eligible for payment of the repatriation grant based on the schedule in effect as of 1 July 2016 provided all conditions of the entitlement are met.</w:t>
      </w:r>
    </w:p>
    <w:p w:rsidR="00C93B8D" w:rsidRPr="00F935D4" w:rsidRDefault="00C93B8D" w:rsidP="00F935D4">
      <w:pPr>
        <w:rPr>
          <w:rStyle w:val="Emphasis"/>
          <w:i w:val="0"/>
        </w:rPr>
      </w:pPr>
    </w:p>
    <w:p w:rsidR="00DA0B9F" w:rsidRPr="00F935D4" w:rsidRDefault="00DA0B9F" w:rsidP="0060396A">
      <w:pPr>
        <w:ind w:left="720"/>
        <w:rPr>
          <w:rStyle w:val="Emphasis"/>
          <w:i w:val="0"/>
        </w:rPr>
      </w:pPr>
      <w:r w:rsidRPr="00543FDC">
        <w:rPr>
          <w:rStyle w:val="Emphasis"/>
          <w:i w:val="0"/>
          <w:sz w:val="16"/>
          <w:szCs w:val="16"/>
        </w:rPr>
        <w:lastRenderedPageBreak/>
        <w:t xml:space="preserve">Annex IV </w:t>
      </w:r>
      <w:r w:rsidR="00526302" w:rsidRPr="00543FDC">
        <w:rPr>
          <w:rStyle w:val="Emphasis"/>
          <w:i w:val="0"/>
          <w:sz w:val="16"/>
          <w:szCs w:val="16"/>
        </w:rPr>
        <w:t xml:space="preserve">to the Staff Regulations </w:t>
      </w:r>
      <w:r w:rsidRPr="00543FDC">
        <w:rPr>
          <w:rStyle w:val="Emphasis"/>
          <w:i w:val="0"/>
          <w:sz w:val="16"/>
          <w:szCs w:val="16"/>
        </w:rPr>
        <w:t>effective 1 July 2016</w:t>
      </w:r>
      <w:r w:rsidR="00EE0555" w:rsidRPr="00F935D4">
        <w:rPr>
          <w:rStyle w:val="Emphasis"/>
          <w:i w:val="0"/>
          <w:noProof/>
          <w:lang w:eastAsia="en-GB"/>
        </w:rPr>
        <w:drawing>
          <wp:inline distT="0" distB="0" distL="0" distR="0" wp14:anchorId="233F6091" wp14:editId="51686321">
            <wp:extent cx="5174882" cy="2289976"/>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5180953" cy="2292663"/>
                    </a:xfrm>
                    <a:prstGeom prst="rect">
                      <a:avLst/>
                    </a:prstGeom>
                  </pic:spPr>
                </pic:pic>
              </a:graphicData>
            </a:graphic>
          </wp:inline>
        </w:drawing>
      </w:r>
    </w:p>
    <w:p w:rsidR="00DA0B9F" w:rsidRPr="00F935D4" w:rsidRDefault="00DA0B9F" w:rsidP="00F935D4">
      <w:pPr>
        <w:rPr>
          <w:rStyle w:val="Emphasis"/>
          <w:i w:val="0"/>
        </w:rPr>
      </w:pPr>
    </w:p>
    <w:p w:rsidR="00DA0B9F" w:rsidRPr="0016598F" w:rsidRDefault="00DA0B9F" w:rsidP="00543FDC">
      <w:pPr>
        <w:ind w:left="720"/>
        <w:rPr>
          <w:rStyle w:val="Emphasis"/>
          <w:b/>
        </w:rPr>
      </w:pPr>
      <w:r w:rsidRPr="0016598F">
        <w:rPr>
          <w:rStyle w:val="Emphasis"/>
          <w:b/>
        </w:rPr>
        <w:t>Conditions for payment</w:t>
      </w:r>
    </w:p>
    <w:p w:rsidR="00DA0B9F" w:rsidRPr="00F935D4" w:rsidRDefault="00DA0B9F" w:rsidP="00F935D4">
      <w:pPr>
        <w:rPr>
          <w:rStyle w:val="Emphasis"/>
          <w:i w:val="0"/>
        </w:rPr>
      </w:pPr>
    </w:p>
    <w:p w:rsidR="00752C75" w:rsidRPr="00F935D4" w:rsidRDefault="00DA0B9F" w:rsidP="00A01CA9">
      <w:pPr>
        <w:pStyle w:val="ListParagraph"/>
        <w:numPr>
          <w:ilvl w:val="0"/>
          <w:numId w:val="19"/>
        </w:numPr>
        <w:tabs>
          <w:tab w:val="left" w:pos="720"/>
        </w:tabs>
        <w:ind w:firstLine="0"/>
        <w:rPr>
          <w:rStyle w:val="Emphasis"/>
          <w:i w:val="0"/>
        </w:rPr>
      </w:pPr>
      <w:r w:rsidRPr="00F935D4">
        <w:rPr>
          <w:rStyle w:val="Emphasis"/>
          <w:i w:val="0"/>
        </w:rPr>
        <w:t>Effective 1 July 2016, the following conditions must be met for payment of the repatriation grant:</w:t>
      </w:r>
    </w:p>
    <w:p w:rsidR="00DA0B9F" w:rsidRPr="00F935D4" w:rsidRDefault="00DA0B9F" w:rsidP="00F935D4">
      <w:pPr>
        <w:rPr>
          <w:rStyle w:val="Emphasis"/>
          <w:i w:val="0"/>
        </w:rPr>
      </w:pPr>
    </w:p>
    <w:p w:rsidR="00DA0B9F" w:rsidRPr="00F935D4" w:rsidRDefault="00DA0B9F" w:rsidP="0092400F">
      <w:pPr>
        <w:pStyle w:val="ListParagraph"/>
        <w:numPr>
          <w:ilvl w:val="0"/>
          <w:numId w:val="22"/>
        </w:numPr>
        <w:tabs>
          <w:tab w:val="left" w:pos="1080"/>
        </w:tabs>
        <w:ind w:firstLine="0"/>
        <w:rPr>
          <w:rStyle w:val="Emphasis"/>
          <w:i w:val="0"/>
        </w:rPr>
      </w:pPr>
      <w:r w:rsidRPr="00F935D4">
        <w:rPr>
          <w:rStyle w:val="Emphasis"/>
          <w:i w:val="0"/>
        </w:rPr>
        <w:t>The Organization has the obligation to repatriate the staff member;</w:t>
      </w:r>
    </w:p>
    <w:p w:rsidR="00DA0B9F" w:rsidRPr="00F935D4" w:rsidRDefault="00DA0B9F" w:rsidP="0092400F">
      <w:pPr>
        <w:pStyle w:val="ListParagraph"/>
        <w:numPr>
          <w:ilvl w:val="0"/>
          <w:numId w:val="22"/>
        </w:numPr>
        <w:tabs>
          <w:tab w:val="left" w:pos="1080"/>
        </w:tabs>
        <w:ind w:firstLine="0"/>
        <w:rPr>
          <w:rStyle w:val="Emphasis"/>
          <w:i w:val="0"/>
        </w:rPr>
      </w:pPr>
      <w:r w:rsidRPr="00F935D4">
        <w:rPr>
          <w:rStyle w:val="Emphasis"/>
          <w:i w:val="0"/>
        </w:rPr>
        <w:t xml:space="preserve">The staff members has </w:t>
      </w:r>
      <w:r w:rsidR="00EE0555" w:rsidRPr="00F935D4">
        <w:rPr>
          <w:rStyle w:val="Emphasis"/>
          <w:i w:val="0"/>
        </w:rPr>
        <w:t xml:space="preserve">completed </w:t>
      </w:r>
      <w:r w:rsidRPr="00F935D4">
        <w:rPr>
          <w:rStyle w:val="Emphasis"/>
          <w:i w:val="0"/>
        </w:rPr>
        <w:t xml:space="preserve">five years or longer of continuous and qualifying </w:t>
      </w:r>
      <w:r w:rsidR="00EE0555" w:rsidRPr="00F935D4">
        <w:rPr>
          <w:rStyle w:val="Emphasis"/>
          <w:i w:val="0"/>
        </w:rPr>
        <w:t>service</w:t>
      </w:r>
      <w:r w:rsidRPr="00F935D4">
        <w:rPr>
          <w:rStyle w:val="Emphasis"/>
          <w:i w:val="0"/>
        </w:rPr>
        <w:t>;</w:t>
      </w:r>
    </w:p>
    <w:p w:rsidR="00DA0B9F" w:rsidRPr="00F935D4" w:rsidRDefault="00DA0B9F" w:rsidP="0092400F">
      <w:pPr>
        <w:pStyle w:val="ListParagraph"/>
        <w:numPr>
          <w:ilvl w:val="0"/>
          <w:numId w:val="22"/>
        </w:numPr>
        <w:tabs>
          <w:tab w:val="left" w:pos="1080"/>
        </w:tabs>
        <w:ind w:firstLine="0"/>
        <w:rPr>
          <w:rStyle w:val="Emphasis"/>
          <w:i w:val="0"/>
        </w:rPr>
      </w:pPr>
      <w:r w:rsidRPr="00F935D4">
        <w:rPr>
          <w:rStyle w:val="Emphasis"/>
          <w:i w:val="0"/>
        </w:rPr>
        <w:t>The staff member resides outside his or her home country and country of nationality, as defined by the Staff Rule, while serving at the last duty station;</w:t>
      </w:r>
    </w:p>
    <w:p w:rsidR="00DA0B9F" w:rsidRPr="00F935D4" w:rsidRDefault="00DA0B9F" w:rsidP="0092400F">
      <w:pPr>
        <w:pStyle w:val="ListParagraph"/>
        <w:numPr>
          <w:ilvl w:val="0"/>
          <w:numId w:val="22"/>
        </w:numPr>
        <w:tabs>
          <w:tab w:val="left" w:pos="1080"/>
        </w:tabs>
        <w:ind w:firstLine="0"/>
        <w:rPr>
          <w:rStyle w:val="Emphasis"/>
          <w:i w:val="0"/>
        </w:rPr>
      </w:pPr>
      <w:r w:rsidRPr="00F935D4">
        <w:rPr>
          <w:rStyle w:val="Emphasis"/>
          <w:i w:val="0"/>
        </w:rPr>
        <w:t>The staff member has not been dismissed or separated from service for abandonment of post.</w:t>
      </w:r>
    </w:p>
    <w:p w:rsidR="00DA0B9F" w:rsidRPr="00F935D4" w:rsidRDefault="00DA0B9F" w:rsidP="00F935D4">
      <w:pPr>
        <w:rPr>
          <w:rStyle w:val="Emphasis"/>
          <w:i w:val="0"/>
        </w:rPr>
      </w:pPr>
    </w:p>
    <w:p w:rsidR="00DA0B9F" w:rsidRPr="00F935D4" w:rsidRDefault="00DA0B9F" w:rsidP="0016598F">
      <w:pPr>
        <w:pStyle w:val="ListParagraph"/>
        <w:numPr>
          <w:ilvl w:val="0"/>
          <w:numId w:val="19"/>
        </w:numPr>
        <w:rPr>
          <w:rStyle w:val="Emphasis"/>
          <w:i w:val="0"/>
        </w:rPr>
      </w:pPr>
      <w:r w:rsidRPr="00F935D4">
        <w:rPr>
          <w:rStyle w:val="Emphasis"/>
          <w:i w:val="0"/>
        </w:rPr>
        <w:t>The repatriation grant shall not be payable to:</w:t>
      </w:r>
    </w:p>
    <w:p w:rsidR="00DA0B9F" w:rsidRPr="00F935D4" w:rsidRDefault="00DA0B9F" w:rsidP="00F935D4">
      <w:pPr>
        <w:rPr>
          <w:rStyle w:val="Emphasis"/>
          <w:i w:val="0"/>
        </w:rPr>
      </w:pPr>
    </w:p>
    <w:p w:rsidR="00DA0B9F" w:rsidRPr="00F935D4" w:rsidRDefault="00DA0B9F" w:rsidP="0092400F">
      <w:pPr>
        <w:pStyle w:val="ListParagraph"/>
        <w:numPr>
          <w:ilvl w:val="0"/>
          <w:numId w:val="23"/>
        </w:numPr>
        <w:tabs>
          <w:tab w:val="left" w:pos="1080"/>
        </w:tabs>
        <w:ind w:firstLine="0"/>
        <w:rPr>
          <w:rStyle w:val="Emphasis"/>
          <w:i w:val="0"/>
        </w:rPr>
      </w:pPr>
      <w:r w:rsidRPr="00F935D4">
        <w:rPr>
          <w:rStyle w:val="Emphasis"/>
          <w:i w:val="0"/>
        </w:rPr>
        <w:t>Locally recruited staff members</w:t>
      </w:r>
      <w:r w:rsidR="00A8465A">
        <w:rPr>
          <w:rStyle w:val="Emphasis"/>
          <w:i w:val="0"/>
        </w:rPr>
        <w:t>,</w:t>
      </w:r>
      <w:r w:rsidRPr="00F935D4">
        <w:rPr>
          <w:rStyle w:val="Emphasis"/>
          <w:i w:val="0"/>
        </w:rPr>
        <w:t xml:space="preserve"> including staff members in the General Service and related categories on assignment to a field mission as they are considered local recruits at their parent duty station;</w:t>
      </w:r>
    </w:p>
    <w:p w:rsidR="00DA0B9F" w:rsidRPr="00F935D4" w:rsidRDefault="00DA0B9F" w:rsidP="0092400F">
      <w:pPr>
        <w:pStyle w:val="ListParagraph"/>
        <w:numPr>
          <w:ilvl w:val="0"/>
          <w:numId w:val="23"/>
        </w:numPr>
        <w:tabs>
          <w:tab w:val="left" w:pos="1080"/>
        </w:tabs>
        <w:ind w:firstLine="0"/>
        <w:rPr>
          <w:rStyle w:val="Emphasis"/>
          <w:i w:val="0"/>
        </w:rPr>
      </w:pPr>
      <w:r w:rsidRPr="00F935D4">
        <w:rPr>
          <w:rStyle w:val="Emphasis"/>
          <w:i w:val="0"/>
        </w:rPr>
        <w:t>Staff members who have permanent residence status in the country of the last duty station at the time of separation.</w:t>
      </w:r>
    </w:p>
    <w:p w:rsidR="00DA0B9F" w:rsidRPr="00F935D4" w:rsidRDefault="004906EA" w:rsidP="00F935D4">
      <w:pPr>
        <w:rPr>
          <w:rStyle w:val="Emphasis"/>
          <w:i w:val="0"/>
        </w:rPr>
      </w:pPr>
      <w:r w:rsidRPr="00F935D4">
        <w:rPr>
          <w:rStyle w:val="Emphasis"/>
          <w:i w:val="0"/>
        </w:rPr>
        <w:t xml:space="preserve"> </w:t>
      </w:r>
    </w:p>
    <w:p w:rsidR="00DA0B9F" w:rsidRPr="00F935D4" w:rsidRDefault="00DA0B9F" w:rsidP="006B1EA7">
      <w:pPr>
        <w:pStyle w:val="ListParagraph"/>
        <w:numPr>
          <w:ilvl w:val="0"/>
          <w:numId w:val="19"/>
        </w:numPr>
        <w:tabs>
          <w:tab w:val="left" w:pos="450"/>
        </w:tabs>
        <w:ind w:left="0" w:firstLine="0"/>
        <w:rPr>
          <w:rStyle w:val="Emphasis"/>
          <w:i w:val="0"/>
        </w:rPr>
      </w:pPr>
      <w:r w:rsidRPr="00F935D4">
        <w:rPr>
          <w:rStyle w:val="Emphasis"/>
          <w:i w:val="0"/>
        </w:rPr>
        <w:t>Payment of the repatriation grant is subject to the staff member providing evidence of relocation indicating that he/she has permanently relocated to a location that is outside the country of the last duty station following separation from the Organisation.</w:t>
      </w:r>
    </w:p>
    <w:p w:rsidR="007E4EE9" w:rsidRPr="00F935D4" w:rsidRDefault="007E4EE9" w:rsidP="006B1EA7">
      <w:pPr>
        <w:tabs>
          <w:tab w:val="left" w:pos="450"/>
        </w:tabs>
        <w:rPr>
          <w:rStyle w:val="Emphasis"/>
          <w:i w:val="0"/>
        </w:rPr>
      </w:pPr>
    </w:p>
    <w:p w:rsidR="002B694A" w:rsidRPr="00F935D4" w:rsidRDefault="00DA0B9F" w:rsidP="006B1EA7">
      <w:pPr>
        <w:pStyle w:val="ListParagraph"/>
        <w:numPr>
          <w:ilvl w:val="0"/>
          <w:numId w:val="19"/>
        </w:numPr>
        <w:tabs>
          <w:tab w:val="left" w:pos="450"/>
        </w:tabs>
        <w:ind w:left="0" w:firstLine="0"/>
        <w:rPr>
          <w:rStyle w:val="Emphasis"/>
          <w:i w:val="0"/>
        </w:rPr>
      </w:pPr>
      <w:r w:rsidRPr="00F935D4">
        <w:rPr>
          <w:rStyle w:val="Emphasis"/>
          <w:i w:val="0"/>
        </w:rPr>
        <w:t>In accordance with Staff Rule 3.19 (j), payment of the repatriation grant will cease if no claim is received within two years from the effective date of separation.</w:t>
      </w:r>
      <w:r w:rsidR="002B694A" w:rsidRPr="00F935D4">
        <w:rPr>
          <w:rStyle w:val="Emphasis"/>
          <w:i w:val="0"/>
        </w:rPr>
        <w:t xml:space="preserve"> However, when both husband and wife are employed by the Organization and the spouse who separates first is entitled to repatriation grant, the claim for payment of the grant by that spouse shall be considered receivable if made within two years of the date of separation of the other spouse. </w:t>
      </w:r>
    </w:p>
    <w:p w:rsidR="006B1EA7" w:rsidRDefault="006B1EA7" w:rsidP="00543FDC">
      <w:pPr>
        <w:ind w:left="720"/>
        <w:rPr>
          <w:rStyle w:val="Emphasis"/>
          <w:b/>
        </w:rPr>
      </w:pPr>
    </w:p>
    <w:p w:rsidR="006B1EA7" w:rsidRDefault="006B1EA7" w:rsidP="00543FDC">
      <w:pPr>
        <w:ind w:left="720"/>
        <w:rPr>
          <w:rStyle w:val="Emphasis"/>
          <w:b/>
        </w:rPr>
      </w:pPr>
    </w:p>
    <w:p w:rsidR="00DA0B9F" w:rsidRPr="0016598F" w:rsidRDefault="00DA0B9F" w:rsidP="00543FDC">
      <w:pPr>
        <w:ind w:left="720"/>
        <w:rPr>
          <w:rStyle w:val="Emphasis"/>
          <w:b/>
        </w:rPr>
      </w:pPr>
      <w:r w:rsidRPr="0016598F">
        <w:rPr>
          <w:rStyle w:val="Emphasis"/>
          <w:b/>
        </w:rPr>
        <w:lastRenderedPageBreak/>
        <w:t>Transitional measure</w:t>
      </w:r>
    </w:p>
    <w:p w:rsidR="00DA0B9F" w:rsidRPr="00F935D4" w:rsidRDefault="00DA0B9F" w:rsidP="00F935D4">
      <w:pPr>
        <w:rPr>
          <w:rStyle w:val="Emphasis"/>
          <w:i w:val="0"/>
        </w:rPr>
      </w:pPr>
    </w:p>
    <w:p w:rsidR="00DA0B9F" w:rsidRPr="00F935D4" w:rsidRDefault="008F0B8D" w:rsidP="00A01CA9">
      <w:pPr>
        <w:pStyle w:val="ListParagraph"/>
        <w:numPr>
          <w:ilvl w:val="0"/>
          <w:numId w:val="19"/>
        </w:numPr>
        <w:tabs>
          <w:tab w:val="left" w:pos="720"/>
        </w:tabs>
        <w:ind w:firstLine="0"/>
        <w:rPr>
          <w:rStyle w:val="Emphasis"/>
          <w:i w:val="0"/>
        </w:rPr>
      </w:pPr>
      <w:r w:rsidRPr="00F935D4">
        <w:rPr>
          <w:rStyle w:val="Emphasis"/>
          <w:i w:val="0"/>
        </w:rPr>
        <w:t xml:space="preserve">As a transitional measure, eligible staff members on board as of 30 June 2016 retain eligibility to the </w:t>
      </w:r>
      <w:r w:rsidR="00A12985" w:rsidRPr="00F935D4">
        <w:rPr>
          <w:rStyle w:val="Emphasis"/>
          <w:i w:val="0"/>
        </w:rPr>
        <w:t xml:space="preserve">repatriation </w:t>
      </w:r>
      <w:r w:rsidRPr="00F935D4">
        <w:rPr>
          <w:rStyle w:val="Emphasis"/>
          <w:i w:val="0"/>
        </w:rPr>
        <w:t xml:space="preserve">grant schedule in effect up to the number of years of expatriate service accrued as of that date.  </w:t>
      </w:r>
    </w:p>
    <w:p w:rsidR="00DA0B9F" w:rsidRPr="00F935D4" w:rsidRDefault="00DA0B9F" w:rsidP="00A01CA9">
      <w:pPr>
        <w:tabs>
          <w:tab w:val="left" w:pos="720"/>
        </w:tabs>
        <w:ind w:left="360"/>
        <w:rPr>
          <w:rStyle w:val="Emphasis"/>
          <w:i w:val="0"/>
        </w:rPr>
      </w:pPr>
    </w:p>
    <w:p w:rsidR="00DA0B9F" w:rsidRPr="00F935D4" w:rsidRDefault="00DA0B9F" w:rsidP="00A01CA9">
      <w:pPr>
        <w:pStyle w:val="ListParagraph"/>
        <w:numPr>
          <w:ilvl w:val="0"/>
          <w:numId w:val="19"/>
        </w:numPr>
        <w:tabs>
          <w:tab w:val="left" w:pos="720"/>
        </w:tabs>
        <w:ind w:firstLine="0"/>
        <w:rPr>
          <w:rStyle w:val="Emphasis"/>
          <w:i w:val="0"/>
        </w:rPr>
      </w:pPr>
      <w:r w:rsidRPr="00F935D4">
        <w:rPr>
          <w:rStyle w:val="Emphasis"/>
          <w:i w:val="0"/>
        </w:rPr>
        <w:t>In line with the transitional measure, staff members on board prior to 1 July 2016 and who subsequently separate from service prior to attaining 5 years of continuous service shall be eligible for payment of repatriation grant based on the number of years of qualifying service accrued as of 30 June 2016 and based on the schedule of payments as reflected in Annex IV of the Staff Regulations in force as of 30 June 2016 (see below table) and provided all conditions for the entitlement are met.</w:t>
      </w:r>
    </w:p>
    <w:p w:rsidR="007E4EE9" w:rsidRPr="00F935D4" w:rsidRDefault="007E4EE9" w:rsidP="00F935D4">
      <w:pPr>
        <w:rPr>
          <w:rStyle w:val="Emphasis"/>
          <w:i w:val="0"/>
        </w:rPr>
      </w:pPr>
    </w:p>
    <w:p w:rsidR="00DA0B9F" w:rsidRPr="00F935D4" w:rsidRDefault="00DA0B9F" w:rsidP="0060396A">
      <w:pPr>
        <w:ind w:left="720"/>
        <w:rPr>
          <w:rStyle w:val="Emphasis"/>
          <w:i w:val="0"/>
        </w:rPr>
      </w:pPr>
      <w:r w:rsidRPr="00543FDC">
        <w:rPr>
          <w:rStyle w:val="Emphasis"/>
          <w:i w:val="0"/>
          <w:sz w:val="16"/>
          <w:szCs w:val="16"/>
        </w:rPr>
        <w:t xml:space="preserve">Annex IV </w:t>
      </w:r>
      <w:r w:rsidR="00526302" w:rsidRPr="00543FDC">
        <w:rPr>
          <w:rStyle w:val="Emphasis"/>
          <w:i w:val="0"/>
          <w:sz w:val="16"/>
          <w:szCs w:val="16"/>
        </w:rPr>
        <w:t xml:space="preserve">to the Staff Regulations </w:t>
      </w:r>
      <w:r w:rsidR="007E4EE9" w:rsidRPr="00543FDC">
        <w:rPr>
          <w:rStyle w:val="Emphasis"/>
          <w:i w:val="0"/>
          <w:sz w:val="16"/>
          <w:szCs w:val="16"/>
        </w:rPr>
        <w:t>as of 30 June 2016</w:t>
      </w:r>
      <w:r w:rsidRPr="00F935D4">
        <w:rPr>
          <w:rStyle w:val="Emphasis"/>
          <w:i w:val="0"/>
          <w:noProof/>
          <w:lang w:eastAsia="en-GB"/>
        </w:rPr>
        <w:drawing>
          <wp:inline distT="0" distB="0" distL="0" distR="0" wp14:anchorId="73842735" wp14:editId="2FE11989">
            <wp:extent cx="5485647" cy="1952625"/>
            <wp:effectExtent l="0" t="0" r="127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5486400" cy="1952893"/>
                    </a:xfrm>
                    <a:prstGeom prst="rect">
                      <a:avLst/>
                    </a:prstGeom>
                  </pic:spPr>
                </pic:pic>
              </a:graphicData>
            </a:graphic>
          </wp:inline>
        </w:drawing>
      </w:r>
    </w:p>
    <w:p w:rsidR="00DA0B9F" w:rsidRPr="00F935D4" w:rsidRDefault="00DA0B9F" w:rsidP="00F935D4">
      <w:pPr>
        <w:rPr>
          <w:rStyle w:val="Emphasis"/>
          <w:i w:val="0"/>
        </w:rPr>
      </w:pPr>
    </w:p>
    <w:p w:rsidR="00DA0B9F" w:rsidRPr="0016598F" w:rsidRDefault="00DA0B9F" w:rsidP="00543FDC">
      <w:pPr>
        <w:ind w:left="720"/>
        <w:rPr>
          <w:rStyle w:val="Emphasis"/>
          <w:b/>
        </w:rPr>
      </w:pPr>
      <w:r w:rsidRPr="0016598F">
        <w:rPr>
          <w:rStyle w:val="Emphasis"/>
          <w:b/>
        </w:rPr>
        <w:t>Re-employment</w:t>
      </w:r>
    </w:p>
    <w:p w:rsidR="00DA0B9F" w:rsidRPr="00F935D4" w:rsidRDefault="00DA0B9F" w:rsidP="00F935D4">
      <w:pPr>
        <w:rPr>
          <w:rStyle w:val="Emphasis"/>
          <w:i w:val="0"/>
        </w:rPr>
      </w:pPr>
    </w:p>
    <w:p w:rsidR="00DA0B9F" w:rsidRPr="00F935D4" w:rsidRDefault="00DA0B9F" w:rsidP="00A01CA9">
      <w:pPr>
        <w:pStyle w:val="ListParagraph"/>
        <w:numPr>
          <w:ilvl w:val="0"/>
          <w:numId w:val="19"/>
        </w:numPr>
        <w:tabs>
          <w:tab w:val="left" w:pos="720"/>
        </w:tabs>
        <w:ind w:firstLine="0"/>
        <w:rPr>
          <w:rStyle w:val="Emphasis"/>
          <w:i w:val="0"/>
        </w:rPr>
      </w:pPr>
      <w:r w:rsidRPr="00F935D4">
        <w:rPr>
          <w:rStyle w:val="Emphasis"/>
          <w:i w:val="0"/>
        </w:rPr>
        <w:t xml:space="preserve">Where a staff member previously </w:t>
      </w:r>
      <w:r w:rsidR="00F453D4" w:rsidRPr="00F935D4">
        <w:rPr>
          <w:rStyle w:val="Emphasis"/>
          <w:i w:val="0"/>
        </w:rPr>
        <w:t>paid a</w:t>
      </w:r>
      <w:r w:rsidRPr="00F935D4">
        <w:rPr>
          <w:rStyle w:val="Emphasis"/>
          <w:i w:val="0"/>
        </w:rPr>
        <w:t xml:space="preserve"> repatriation grant is</w:t>
      </w:r>
      <w:r w:rsidR="00C20168" w:rsidRPr="00F935D4">
        <w:rPr>
          <w:rStyle w:val="Emphasis"/>
          <w:i w:val="0"/>
        </w:rPr>
        <w:t xml:space="preserve"> subsequently</w:t>
      </w:r>
      <w:r w:rsidRPr="00F935D4">
        <w:rPr>
          <w:rStyle w:val="Emphasis"/>
          <w:i w:val="0"/>
        </w:rPr>
        <w:t xml:space="preserve"> re-employed by the Organisation and granted a fixed-term appointment with an effective date on or after 1 July 2016, upon separation from service from the subsequent appointment, any repatriation grant payable will be based on the five year eligibility requirement for the entitlement and provided that all other conditions are met, including the provisions of Staff Rule 4.17 </w:t>
      </w:r>
      <w:r w:rsidR="00C20168" w:rsidRPr="00F935D4">
        <w:rPr>
          <w:rStyle w:val="Emphasis"/>
          <w:i w:val="0"/>
        </w:rPr>
        <w:t>(c)</w:t>
      </w:r>
      <w:r w:rsidRPr="00F935D4">
        <w:rPr>
          <w:rStyle w:val="Emphasis"/>
          <w:i w:val="0"/>
        </w:rPr>
        <w:t>.</w:t>
      </w:r>
    </w:p>
    <w:p w:rsidR="00DA0B9F" w:rsidRPr="00F935D4" w:rsidRDefault="00DA0B9F" w:rsidP="00F935D4">
      <w:pPr>
        <w:rPr>
          <w:rStyle w:val="Emphasis"/>
          <w:i w:val="0"/>
        </w:rPr>
      </w:pPr>
    </w:p>
    <w:p w:rsidR="00DA0B9F" w:rsidRPr="0016598F" w:rsidRDefault="00DA0B9F" w:rsidP="00543FDC">
      <w:pPr>
        <w:ind w:left="720"/>
        <w:rPr>
          <w:rStyle w:val="Emphasis"/>
          <w:b/>
        </w:rPr>
      </w:pPr>
      <w:r w:rsidRPr="0016598F">
        <w:rPr>
          <w:rStyle w:val="Emphasis"/>
          <w:b/>
        </w:rPr>
        <w:t>Staff members holding temporary appointments</w:t>
      </w:r>
    </w:p>
    <w:p w:rsidR="00DA0B9F" w:rsidRPr="00F935D4" w:rsidRDefault="00DA0B9F" w:rsidP="00F935D4">
      <w:pPr>
        <w:rPr>
          <w:rStyle w:val="Emphasis"/>
          <w:i w:val="0"/>
        </w:rPr>
      </w:pPr>
    </w:p>
    <w:p w:rsidR="00DA0B9F" w:rsidRPr="00F935D4" w:rsidRDefault="00DA0B9F" w:rsidP="00A01CA9">
      <w:pPr>
        <w:pStyle w:val="ListParagraph"/>
        <w:numPr>
          <w:ilvl w:val="0"/>
          <w:numId w:val="19"/>
        </w:numPr>
        <w:tabs>
          <w:tab w:val="left" w:pos="720"/>
        </w:tabs>
        <w:ind w:firstLine="0"/>
        <w:rPr>
          <w:rStyle w:val="Emphasis"/>
          <w:i w:val="0"/>
        </w:rPr>
      </w:pPr>
      <w:r w:rsidRPr="00F935D4">
        <w:rPr>
          <w:rStyle w:val="Emphasis"/>
          <w:i w:val="0"/>
        </w:rPr>
        <w:t xml:space="preserve">Where a staff member is employed on a temporary appointment on or after 1 July </w:t>
      </w:r>
      <w:r w:rsidR="00AB663D" w:rsidRPr="00F935D4">
        <w:rPr>
          <w:rStyle w:val="Emphasis"/>
          <w:i w:val="0"/>
        </w:rPr>
        <w:t>2016</w:t>
      </w:r>
      <w:r w:rsidRPr="00F935D4">
        <w:rPr>
          <w:rStyle w:val="Emphasis"/>
          <w:i w:val="0"/>
        </w:rPr>
        <w:t xml:space="preserve"> and the appointment is exceptionally extended beyond 364 days for a continuous period of one year or longer he/she </w:t>
      </w:r>
      <w:r w:rsidR="00C20168" w:rsidRPr="00F935D4">
        <w:rPr>
          <w:rStyle w:val="Emphasis"/>
          <w:i w:val="0"/>
        </w:rPr>
        <w:t>remains</w:t>
      </w:r>
      <w:r w:rsidRPr="00F935D4">
        <w:rPr>
          <w:rStyle w:val="Emphasis"/>
          <w:i w:val="0"/>
        </w:rPr>
        <w:t xml:space="preserve"> ineligible for payment of the repatriation grant upon separation from the temporary appointment.</w:t>
      </w:r>
    </w:p>
    <w:p w:rsidR="00DA0B9F" w:rsidRPr="00F935D4" w:rsidRDefault="00DA0B9F" w:rsidP="00A01CA9">
      <w:pPr>
        <w:tabs>
          <w:tab w:val="left" w:pos="720"/>
        </w:tabs>
        <w:ind w:left="360"/>
        <w:rPr>
          <w:rStyle w:val="Emphasis"/>
          <w:i w:val="0"/>
        </w:rPr>
      </w:pPr>
    </w:p>
    <w:p w:rsidR="004D61EF" w:rsidRPr="00F935D4" w:rsidRDefault="00DA0B9F" w:rsidP="00A01CA9">
      <w:pPr>
        <w:pStyle w:val="ListParagraph"/>
        <w:numPr>
          <w:ilvl w:val="0"/>
          <w:numId w:val="19"/>
        </w:numPr>
        <w:tabs>
          <w:tab w:val="left" w:pos="720"/>
        </w:tabs>
        <w:ind w:firstLine="0"/>
        <w:rPr>
          <w:rStyle w:val="Emphasis"/>
          <w:i w:val="0"/>
        </w:rPr>
      </w:pPr>
      <w:r w:rsidRPr="00F935D4">
        <w:rPr>
          <w:rStyle w:val="Emphasis"/>
          <w:i w:val="0"/>
        </w:rPr>
        <w:t xml:space="preserve">A staff member who is employed under a temporary appointment </w:t>
      </w:r>
      <w:r w:rsidR="00357DD6">
        <w:rPr>
          <w:rStyle w:val="Emphasis"/>
          <w:i w:val="0"/>
        </w:rPr>
        <w:t xml:space="preserve">with </w:t>
      </w:r>
      <w:r w:rsidR="00134561">
        <w:rPr>
          <w:rStyle w:val="Emphasis"/>
          <w:i w:val="0"/>
        </w:rPr>
        <w:t>entry on duty</w:t>
      </w:r>
      <w:r w:rsidR="00357DD6">
        <w:rPr>
          <w:rStyle w:val="Emphasis"/>
          <w:i w:val="0"/>
        </w:rPr>
        <w:t xml:space="preserve"> </w:t>
      </w:r>
      <w:r w:rsidR="00134561">
        <w:rPr>
          <w:rStyle w:val="Emphasis"/>
          <w:i w:val="0"/>
        </w:rPr>
        <w:t>(</w:t>
      </w:r>
      <w:r w:rsidR="00357DD6">
        <w:rPr>
          <w:rStyle w:val="Emphasis"/>
          <w:i w:val="0"/>
        </w:rPr>
        <w:t>EOD</w:t>
      </w:r>
      <w:r w:rsidR="00134561">
        <w:rPr>
          <w:rStyle w:val="Emphasis"/>
          <w:i w:val="0"/>
        </w:rPr>
        <w:t>)</w:t>
      </w:r>
      <w:r w:rsidR="00357DD6">
        <w:rPr>
          <w:rStyle w:val="Emphasis"/>
          <w:i w:val="0"/>
        </w:rPr>
        <w:t xml:space="preserve"> </w:t>
      </w:r>
      <w:r w:rsidRPr="00F935D4">
        <w:rPr>
          <w:rStyle w:val="Emphasis"/>
          <w:i w:val="0"/>
        </w:rPr>
        <w:t>on or after 1 July 2016 who is subsequently granted a fixed-term appointment may be eligible for payment of the repatriation grant upon separation from the fixed-term appointment provided that all conditions for the entitlement are met.  Only the period of service under the fixed-term appointment will be considered for eligibility for purposes of the repatriation grant upon separation from service.</w:t>
      </w:r>
    </w:p>
    <w:p w:rsidR="00DA0B9F" w:rsidRPr="00F935D4" w:rsidRDefault="00DA0B9F" w:rsidP="00F935D4">
      <w:pPr>
        <w:rPr>
          <w:rStyle w:val="Emphasis"/>
          <w:i w:val="0"/>
        </w:rPr>
      </w:pPr>
    </w:p>
    <w:p w:rsidR="00DA0B9F" w:rsidRPr="0016598F" w:rsidRDefault="00DA0B9F" w:rsidP="00543FDC">
      <w:pPr>
        <w:ind w:left="720"/>
        <w:rPr>
          <w:rStyle w:val="Emphasis"/>
          <w:b/>
        </w:rPr>
      </w:pPr>
      <w:r w:rsidRPr="0016598F">
        <w:rPr>
          <w:rStyle w:val="Emphasis"/>
          <w:b/>
        </w:rPr>
        <w:t>Staff from the U</w:t>
      </w:r>
      <w:r w:rsidR="0016598F">
        <w:rPr>
          <w:rStyle w:val="Emphasis"/>
          <w:b/>
        </w:rPr>
        <w:t xml:space="preserve">nited </w:t>
      </w:r>
      <w:r w:rsidRPr="0016598F">
        <w:rPr>
          <w:rStyle w:val="Emphasis"/>
          <w:b/>
        </w:rPr>
        <w:t>N</w:t>
      </w:r>
      <w:r w:rsidR="0016598F">
        <w:rPr>
          <w:rStyle w:val="Emphasis"/>
          <w:b/>
        </w:rPr>
        <w:t xml:space="preserve">ations </w:t>
      </w:r>
      <w:r w:rsidRPr="0016598F">
        <w:rPr>
          <w:rStyle w:val="Emphasis"/>
          <w:b/>
        </w:rPr>
        <w:t>C</w:t>
      </w:r>
      <w:r w:rsidR="0016598F">
        <w:rPr>
          <w:rStyle w:val="Emphasis"/>
          <w:b/>
        </w:rPr>
        <w:t xml:space="preserve">ommon </w:t>
      </w:r>
      <w:r w:rsidRPr="0016598F">
        <w:rPr>
          <w:rStyle w:val="Emphasis"/>
          <w:b/>
        </w:rPr>
        <w:t>S</w:t>
      </w:r>
      <w:r w:rsidR="0016598F">
        <w:rPr>
          <w:rStyle w:val="Emphasis"/>
          <w:b/>
        </w:rPr>
        <w:t>ystem</w:t>
      </w:r>
    </w:p>
    <w:p w:rsidR="00DA0B9F" w:rsidRPr="00F935D4" w:rsidRDefault="00DA0B9F" w:rsidP="00F935D4">
      <w:pPr>
        <w:rPr>
          <w:rStyle w:val="Emphasis"/>
          <w:i w:val="0"/>
        </w:rPr>
      </w:pPr>
    </w:p>
    <w:p w:rsidR="00DA0B9F" w:rsidRPr="00F935D4" w:rsidRDefault="00DA0B9F" w:rsidP="00A01CA9">
      <w:pPr>
        <w:pStyle w:val="ListParagraph"/>
        <w:numPr>
          <w:ilvl w:val="0"/>
          <w:numId w:val="19"/>
        </w:numPr>
        <w:tabs>
          <w:tab w:val="left" w:pos="720"/>
        </w:tabs>
        <w:ind w:firstLine="0"/>
        <w:rPr>
          <w:rStyle w:val="Emphasis"/>
          <w:i w:val="0"/>
        </w:rPr>
      </w:pPr>
      <w:r w:rsidRPr="00F935D4">
        <w:rPr>
          <w:rStyle w:val="Emphasis"/>
          <w:i w:val="0"/>
        </w:rPr>
        <w:t>Where a staff member is on secondment or transferred from a UNCS Organisation</w:t>
      </w:r>
      <w:r w:rsidR="00F043E3" w:rsidRPr="00F935D4">
        <w:rPr>
          <w:rStyle w:val="Emphasis"/>
          <w:i w:val="0"/>
        </w:rPr>
        <w:t xml:space="preserve"> prior to 1 July 2016</w:t>
      </w:r>
      <w:r w:rsidRPr="00F935D4">
        <w:rPr>
          <w:rStyle w:val="Emphasis"/>
          <w:i w:val="0"/>
        </w:rPr>
        <w:t>, he/she shall retain the entitlement to</w:t>
      </w:r>
      <w:r w:rsidR="00F043E3" w:rsidRPr="00F935D4">
        <w:rPr>
          <w:rStyle w:val="Emphasis"/>
          <w:i w:val="0"/>
        </w:rPr>
        <w:t xml:space="preserve"> repatriation grant similar to that for Secretariat staff members as per above paragraph</w:t>
      </w:r>
      <w:r w:rsidR="00E30F6C" w:rsidRPr="00F935D4">
        <w:rPr>
          <w:rStyle w:val="Emphasis"/>
          <w:i w:val="0"/>
        </w:rPr>
        <w:t>s</w:t>
      </w:r>
      <w:r w:rsidR="00F043E3" w:rsidRPr="00F935D4">
        <w:rPr>
          <w:rStyle w:val="Emphasis"/>
          <w:i w:val="0"/>
        </w:rPr>
        <w:t xml:space="preserve">.  Where a staff member transfers from a UNCS Organisation under the inter-agency agreement prior to 1 July 2016 and he/she separates from the Secretariat with less than five years of continuous service the repatriation grant upon separation shall be based on the number of years and months of service accrued as of 30 June 2016 in both the releasing and receiving Organisations. </w:t>
      </w:r>
    </w:p>
    <w:p w:rsidR="00DA0B9F" w:rsidRPr="00F935D4" w:rsidRDefault="00DA0B9F" w:rsidP="00F935D4">
      <w:pPr>
        <w:rPr>
          <w:rStyle w:val="Emphasis"/>
          <w:i w:val="0"/>
        </w:rPr>
      </w:pPr>
    </w:p>
    <w:p w:rsidR="00DA0B9F" w:rsidRPr="00F935D4" w:rsidRDefault="00DA0B9F" w:rsidP="00F935D4">
      <w:pPr>
        <w:pStyle w:val="ListParagraph"/>
        <w:numPr>
          <w:ilvl w:val="0"/>
          <w:numId w:val="18"/>
        </w:numPr>
        <w:rPr>
          <w:rStyle w:val="Emphasis"/>
          <w:i w:val="0"/>
        </w:rPr>
      </w:pPr>
      <w:r w:rsidRPr="00F935D4">
        <w:rPr>
          <w:rStyle w:val="Emphasis"/>
          <w:i w:val="0"/>
        </w:rPr>
        <w:t xml:space="preserve">        </w:t>
      </w:r>
      <w:r w:rsidRPr="0016598F">
        <w:rPr>
          <w:rStyle w:val="Emphasis"/>
          <w:b/>
          <w:i w:val="0"/>
        </w:rPr>
        <w:t>Home leave</w:t>
      </w:r>
    </w:p>
    <w:p w:rsidR="00DA0B9F" w:rsidRPr="00F935D4" w:rsidRDefault="00DA0B9F" w:rsidP="00F935D4">
      <w:pPr>
        <w:rPr>
          <w:rStyle w:val="Emphasis"/>
          <w:i w:val="0"/>
        </w:rPr>
      </w:pPr>
    </w:p>
    <w:p w:rsidR="00DA0B9F" w:rsidRPr="00F935D4" w:rsidRDefault="00DA0B9F" w:rsidP="00A01CA9">
      <w:pPr>
        <w:pStyle w:val="ListParagraph"/>
        <w:numPr>
          <w:ilvl w:val="0"/>
          <w:numId w:val="19"/>
        </w:numPr>
        <w:tabs>
          <w:tab w:val="left" w:pos="720"/>
        </w:tabs>
        <w:ind w:firstLine="0"/>
        <w:rPr>
          <w:rStyle w:val="Emphasis"/>
          <w:i w:val="0"/>
        </w:rPr>
      </w:pPr>
      <w:r w:rsidRPr="00F935D4">
        <w:rPr>
          <w:rStyle w:val="Emphasis"/>
          <w:i w:val="0"/>
        </w:rPr>
        <w:t>Effective 1 July 2016, accelerated home leave travel is discontinued in C, D and E duty stations but retained in D and E duty stations that do not fall under the rest and recuperation framework.</w:t>
      </w:r>
    </w:p>
    <w:p w:rsidR="00DA0B9F" w:rsidRPr="00F935D4" w:rsidRDefault="00DA0B9F" w:rsidP="00A01CA9">
      <w:pPr>
        <w:tabs>
          <w:tab w:val="left" w:pos="720"/>
        </w:tabs>
        <w:ind w:left="360"/>
        <w:rPr>
          <w:rStyle w:val="Emphasis"/>
          <w:i w:val="0"/>
        </w:rPr>
      </w:pPr>
    </w:p>
    <w:p w:rsidR="00DA0B9F" w:rsidRPr="00F935D4" w:rsidRDefault="00DA0B9F" w:rsidP="00A01CA9">
      <w:pPr>
        <w:pStyle w:val="ListParagraph"/>
        <w:numPr>
          <w:ilvl w:val="0"/>
          <w:numId w:val="19"/>
        </w:numPr>
        <w:tabs>
          <w:tab w:val="left" w:pos="720"/>
        </w:tabs>
        <w:ind w:firstLine="0"/>
        <w:rPr>
          <w:rStyle w:val="Emphasis"/>
          <w:i w:val="0"/>
        </w:rPr>
      </w:pPr>
      <w:r w:rsidRPr="00F935D4">
        <w:rPr>
          <w:rStyle w:val="Emphasis"/>
          <w:i w:val="0"/>
        </w:rPr>
        <w:t xml:space="preserve">Effective 1 July 2016, </w:t>
      </w:r>
      <w:r w:rsidR="00A8465A">
        <w:rPr>
          <w:rStyle w:val="Emphasis"/>
          <w:i w:val="0"/>
        </w:rPr>
        <w:t xml:space="preserve">eligible </w:t>
      </w:r>
      <w:r w:rsidRPr="00F935D4">
        <w:rPr>
          <w:rStyle w:val="Emphasis"/>
          <w:i w:val="0"/>
        </w:rPr>
        <w:t>staff members in C, D and E duty stations w</w:t>
      </w:r>
      <w:r w:rsidR="00695494" w:rsidRPr="00F935D4">
        <w:rPr>
          <w:rStyle w:val="Emphasis"/>
          <w:i w:val="0"/>
        </w:rPr>
        <w:t>h</w:t>
      </w:r>
      <w:r w:rsidRPr="00F935D4">
        <w:rPr>
          <w:rStyle w:val="Emphasis"/>
          <w:i w:val="0"/>
        </w:rPr>
        <w:t xml:space="preserve">ere accelerated home leave has been discontinued </w:t>
      </w:r>
      <w:r w:rsidR="00557824" w:rsidRPr="00F935D4">
        <w:rPr>
          <w:rStyle w:val="Emphasis"/>
          <w:i w:val="0"/>
        </w:rPr>
        <w:t xml:space="preserve">retain points accrued as of 30 June 2016 and </w:t>
      </w:r>
      <w:r w:rsidRPr="00F935D4">
        <w:rPr>
          <w:rStyle w:val="Emphasis"/>
          <w:i w:val="0"/>
        </w:rPr>
        <w:t>will start accruing home leave points applicable to duty stations with a 24 month home leave cycle effective 1 July 2016 i.e. 1 service credit point per completed month.</w:t>
      </w:r>
      <w:r w:rsidR="00557824" w:rsidRPr="00F935D4">
        <w:rPr>
          <w:rStyle w:val="Emphasis"/>
          <w:i w:val="0"/>
        </w:rPr>
        <w:t xml:space="preserve">  Staff serving in these duty </w:t>
      </w:r>
      <w:r w:rsidR="00AB663D" w:rsidRPr="00F935D4">
        <w:rPr>
          <w:rStyle w:val="Emphasis"/>
          <w:i w:val="0"/>
        </w:rPr>
        <w:t>stations will</w:t>
      </w:r>
      <w:r w:rsidR="00557824" w:rsidRPr="00F935D4">
        <w:rPr>
          <w:rStyle w:val="Emphasis"/>
          <w:i w:val="0"/>
        </w:rPr>
        <w:t xml:space="preserve"> be eligible for home leave upon accruing 24 service credit points, provided all other conditions of home leave are met.</w:t>
      </w:r>
    </w:p>
    <w:p w:rsidR="00DA0B9F" w:rsidRPr="00F935D4" w:rsidRDefault="00DA0B9F" w:rsidP="00A01CA9">
      <w:pPr>
        <w:tabs>
          <w:tab w:val="left" w:pos="720"/>
        </w:tabs>
        <w:ind w:left="360"/>
        <w:rPr>
          <w:rStyle w:val="Emphasis"/>
          <w:i w:val="0"/>
        </w:rPr>
      </w:pPr>
    </w:p>
    <w:p w:rsidR="00DA0B9F" w:rsidRPr="00F935D4" w:rsidRDefault="00DA0B9F" w:rsidP="00A01CA9">
      <w:pPr>
        <w:pStyle w:val="ListParagraph"/>
        <w:numPr>
          <w:ilvl w:val="0"/>
          <w:numId w:val="19"/>
        </w:numPr>
        <w:tabs>
          <w:tab w:val="left" w:pos="720"/>
        </w:tabs>
        <w:ind w:firstLine="0"/>
        <w:rPr>
          <w:rStyle w:val="Emphasis"/>
          <w:i w:val="0"/>
        </w:rPr>
      </w:pPr>
      <w:r w:rsidRPr="00F935D4">
        <w:rPr>
          <w:rStyle w:val="Emphasis"/>
          <w:i w:val="0"/>
        </w:rPr>
        <w:t xml:space="preserve">Upon the change of duty station from a 12 to a 24 month home leave cycle, a staff member may avail of home leave provided that he/she has accrued 24 service credit points and that all conditions for the entitlement are met as per </w:t>
      </w:r>
      <w:r w:rsidR="00557E07" w:rsidRPr="00F935D4">
        <w:rPr>
          <w:rStyle w:val="Emphasis"/>
          <w:i w:val="0"/>
        </w:rPr>
        <w:t xml:space="preserve">Staff Rule 5.2 and </w:t>
      </w:r>
      <w:r w:rsidRPr="00F935D4">
        <w:rPr>
          <w:rStyle w:val="Emphasis"/>
          <w:i w:val="0"/>
        </w:rPr>
        <w:t xml:space="preserve">the administrative instruction </w:t>
      </w:r>
      <w:r w:rsidR="00557E07" w:rsidRPr="00F935D4">
        <w:rPr>
          <w:rStyle w:val="Emphasis"/>
          <w:i w:val="0"/>
        </w:rPr>
        <w:t>on home leave and official travel</w:t>
      </w:r>
      <w:r w:rsidRPr="00F935D4">
        <w:rPr>
          <w:rStyle w:val="Emphasis"/>
          <w:i w:val="0"/>
        </w:rPr>
        <w:t>, including the six month</w:t>
      </w:r>
      <w:r w:rsidR="00695494" w:rsidRPr="00F935D4">
        <w:rPr>
          <w:rStyle w:val="Emphasis"/>
          <w:i w:val="0"/>
        </w:rPr>
        <w:t>s</w:t>
      </w:r>
      <w:r w:rsidRPr="00F935D4">
        <w:rPr>
          <w:rStyle w:val="Emphasis"/>
          <w:i w:val="0"/>
        </w:rPr>
        <w:t xml:space="preserve"> expected duration of service upon return from home leave.  Upon return from such approved home leave, the next home leave will be based on the 24 month home leave schedule.</w:t>
      </w:r>
    </w:p>
    <w:p w:rsidR="00E30F6C" w:rsidRPr="00F935D4" w:rsidRDefault="00E30F6C" w:rsidP="00F935D4">
      <w:pPr>
        <w:rPr>
          <w:rStyle w:val="Emphasis"/>
          <w:i w:val="0"/>
        </w:rPr>
      </w:pPr>
    </w:p>
    <w:p w:rsidR="00E30F6C" w:rsidRPr="0016598F" w:rsidRDefault="00E30F6C" w:rsidP="00543FDC">
      <w:pPr>
        <w:ind w:left="720"/>
        <w:rPr>
          <w:rStyle w:val="Emphasis"/>
          <w:b/>
        </w:rPr>
      </w:pPr>
      <w:r w:rsidRPr="0016598F">
        <w:rPr>
          <w:rStyle w:val="Emphasis"/>
          <w:b/>
        </w:rPr>
        <w:t>Change of home leave cycle</w:t>
      </w:r>
    </w:p>
    <w:p w:rsidR="00E30F6C" w:rsidRPr="00F935D4" w:rsidRDefault="00E30F6C" w:rsidP="00F935D4">
      <w:pPr>
        <w:rPr>
          <w:rStyle w:val="Emphasis"/>
          <w:i w:val="0"/>
        </w:rPr>
      </w:pPr>
    </w:p>
    <w:p w:rsidR="00E30F6C" w:rsidRPr="00F935D4" w:rsidRDefault="00E30F6C" w:rsidP="00A01CA9">
      <w:pPr>
        <w:pStyle w:val="ListParagraph"/>
        <w:numPr>
          <w:ilvl w:val="0"/>
          <w:numId w:val="19"/>
        </w:numPr>
        <w:tabs>
          <w:tab w:val="left" w:pos="720"/>
        </w:tabs>
        <w:ind w:firstLine="0"/>
        <w:rPr>
          <w:rStyle w:val="Emphasis"/>
          <w:i w:val="0"/>
        </w:rPr>
      </w:pPr>
      <w:r w:rsidRPr="00F935D4">
        <w:rPr>
          <w:rStyle w:val="Emphasis"/>
          <w:i w:val="0"/>
        </w:rPr>
        <w:t>The accelerated home leave in D and E duty stations may be discontinued upon approval of the duty station for rest and recuperation or upon change of the hardship classification to hardship rating of C, B or A.  Similarly, the accelerated home leave may be introduced where the hardship classification changes to D or E and the duty station is not approved for rest and recuperation.</w:t>
      </w:r>
      <w:r w:rsidR="000E4C6C" w:rsidRPr="00F935D4">
        <w:rPr>
          <w:rStyle w:val="Emphasis"/>
          <w:i w:val="0"/>
        </w:rPr>
        <w:t xml:space="preserve">  In such cases, service credit point shall accrue at the applicable rate as from the effective date of change of the home leave cycle at the duty station. </w:t>
      </w:r>
      <w:r w:rsidRPr="00F935D4">
        <w:rPr>
          <w:rStyle w:val="Emphasis"/>
          <w:i w:val="0"/>
        </w:rPr>
        <w:t xml:space="preserve">  </w:t>
      </w:r>
    </w:p>
    <w:p w:rsidR="00DB409C" w:rsidRDefault="00DB409C" w:rsidP="00A01CA9">
      <w:pPr>
        <w:tabs>
          <w:tab w:val="left" w:pos="720"/>
        </w:tabs>
        <w:ind w:left="360"/>
        <w:rPr>
          <w:rStyle w:val="Emphasis"/>
          <w:i w:val="0"/>
        </w:rPr>
      </w:pPr>
    </w:p>
    <w:p w:rsidR="00A01CA9" w:rsidRPr="00F935D4" w:rsidRDefault="00A01CA9" w:rsidP="00A01CA9">
      <w:pPr>
        <w:tabs>
          <w:tab w:val="left" w:pos="720"/>
        </w:tabs>
        <w:ind w:left="360"/>
        <w:rPr>
          <w:rStyle w:val="Emphasis"/>
          <w:i w:val="0"/>
        </w:rPr>
      </w:pPr>
    </w:p>
    <w:p w:rsidR="00DB409C" w:rsidRPr="0016598F" w:rsidRDefault="00DB409C" w:rsidP="00543FDC">
      <w:pPr>
        <w:ind w:left="720"/>
        <w:rPr>
          <w:rStyle w:val="Emphasis"/>
          <w:b/>
          <w:i w:val="0"/>
        </w:rPr>
      </w:pPr>
      <w:r w:rsidRPr="0016598F">
        <w:rPr>
          <w:rStyle w:val="Emphasis"/>
          <w:b/>
          <w:i w:val="0"/>
        </w:rPr>
        <w:t>Relocation package</w:t>
      </w:r>
    </w:p>
    <w:p w:rsidR="00DB409C" w:rsidRPr="00F935D4" w:rsidRDefault="00DB409C" w:rsidP="00F935D4">
      <w:pPr>
        <w:rPr>
          <w:rStyle w:val="Emphasis"/>
          <w:i w:val="0"/>
        </w:rPr>
      </w:pPr>
    </w:p>
    <w:p w:rsidR="00DA0B9F" w:rsidRPr="00F935D4" w:rsidRDefault="00DB409C" w:rsidP="00A01CA9">
      <w:pPr>
        <w:pStyle w:val="ListParagraph"/>
        <w:numPr>
          <w:ilvl w:val="0"/>
          <w:numId w:val="19"/>
        </w:numPr>
        <w:tabs>
          <w:tab w:val="left" w:pos="720"/>
        </w:tabs>
        <w:ind w:firstLine="0"/>
        <w:rPr>
          <w:rStyle w:val="Emphasis"/>
          <w:i w:val="0"/>
        </w:rPr>
      </w:pPr>
      <w:r w:rsidRPr="00F935D4">
        <w:rPr>
          <w:rStyle w:val="Emphasis"/>
          <w:i w:val="0"/>
        </w:rPr>
        <w:t xml:space="preserve">Effective 1 July 2016, a new relocation package is being introduced.  It consists of a settling-in grant, relocation travel of the staff member and eligible family members where </w:t>
      </w:r>
      <w:r w:rsidRPr="00F935D4">
        <w:rPr>
          <w:rStyle w:val="Emphasis"/>
          <w:i w:val="0"/>
        </w:rPr>
        <w:lastRenderedPageBreak/>
        <w:t xml:space="preserve">applicable, that will continue to be arranged by the Organisation and </w:t>
      </w:r>
      <w:r w:rsidR="00583C1E" w:rsidRPr="00F935D4">
        <w:rPr>
          <w:rStyle w:val="Emphasis"/>
          <w:i w:val="0"/>
        </w:rPr>
        <w:t xml:space="preserve">relocation </w:t>
      </w:r>
      <w:r w:rsidRPr="00F935D4">
        <w:rPr>
          <w:rStyle w:val="Emphasis"/>
          <w:i w:val="0"/>
        </w:rPr>
        <w:t>shipment of household goods.</w:t>
      </w:r>
      <w:r w:rsidR="00DA0B9F" w:rsidRPr="00F935D4">
        <w:rPr>
          <w:rStyle w:val="Emphasis"/>
          <w:i w:val="0"/>
        </w:rPr>
        <w:t xml:space="preserve">  </w:t>
      </w:r>
    </w:p>
    <w:p w:rsidR="00DA0B9F" w:rsidRPr="00F935D4" w:rsidRDefault="00DA0B9F" w:rsidP="00F935D4">
      <w:pPr>
        <w:rPr>
          <w:rStyle w:val="Emphasis"/>
          <w:i w:val="0"/>
        </w:rPr>
      </w:pPr>
    </w:p>
    <w:p w:rsidR="00DB409C" w:rsidRPr="0016598F" w:rsidRDefault="00DB409C" w:rsidP="00F935D4">
      <w:pPr>
        <w:pStyle w:val="ListParagraph"/>
        <w:numPr>
          <w:ilvl w:val="0"/>
          <w:numId w:val="18"/>
        </w:numPr>
        <w:rPr>
          <w:rStyle w:val="Emphasis"/>
          <w:b/>
          <w:i w:val="0"/>
        </w:rPr>
      </w:pPr>
      <w:r w:rsidRPr="00F935D4">
        <w:rPr>
          <w:rStyle w:val="Emphasis"/>
          <w:i w:val="0"/>
        </w:rPr>
        <w:t xml:space="preserve">      </w:t>
      </w:r>
      <w:r w:rsidRPr="0016598F">
        <w:rPr>
          <w:rStyle w:val="Emphasis"/>
          <w:b/>
          <w:i w:val="0"/>
        </w:rPr>
        <w:t>Settling-in grant</w:t>
      </w:r>
    </w:p>
    <w:p w:rsidR="00DB409C" w:rsidRPr="00F935D4" w:rsidRDefault="00DB409C" w:rsidP="00F935D4">
      <w:pPr>
        <w:rPr>
          <w:rStyle w:val="Emphasis"/>
          <w:i w:val="0"/>
        </w:rPr>
      </w:pPr>
    </w:p>
    <w:p w:rsidR="00DB409C" w:rsidRPr="00F935D4" w:rsidRDefault="00DB409C" w:rsidP="00A01CA9">
      <w:pPr>
        <w:pStyle w:val="ListParagraph"/>
        <w:numPr>
          <w:ilvl w:val="0"/>
          <w:numId w:val="19"/>
        </w:numPr>
        <w:tabs>
          <w:tab w:val="left" w:pos="720"/>
        </w:tabs>
        <w:ind w:firstLine="0"/>
        <w:rPr>
          <w:rStyle w:val="Emphasis"/>
          <w:i w:val="0"/>
        </w:rPr>
      </w:pPr>
      <w:r w:rsidRPr="00F935D4">
        <w:rPr>
          <w:rStyle w:val="Emphasis"/>
          <w:i w:val="0"/>
        </w:rPr>
        <w:t xml:space="preserve">Effective 1 July 2016, staff members in the professional and higher categories and in the field service category </w:t>
      </w:r>
      <w:r w:rsidR="00A8465A">
        <w:rPr>
          <w:rStyle w:val="Emphasis"/>
          <w:i w:val="0"/>
        </w:rPr>
        <w:t>and internationally recruited general service staff</w:t>
      </w:r>
      <w:r w:rsidR="00A8465A" w:rsidRPr="00F935D4">
        <w:rPr>
          <w:rStyle w:val="Emphasis"/>
          <w:i w:val="0"/>
        </w:rPr>
        <w:t xml:space="preserve"> </w:t>
      </w:r>
      <w:r w:rsidRPr="00F935D4">
        <w:rPr>
          <w:rStyle w:val="Emphasis"/>
          <w:i w:val="0"/>
        </w:rPr>
        <w:t>holding an appointment other than a temporary appointment and who have been authorised to travel by the United Nations to take up an appointment/assignment/transfer/reassignment of one year or longer may be eligible for payment of a settling-in grant.  The purpose of the settling-in grant is to cover the initial costs of relocation.  The settling-in grant replaces the assignment grant which will be payable until 30 June 2016 COB.</w:t>
      </w:r>
    </w:p>
    <w:p w:rsidR="00DB409C" w:rsidRPr="00F935D4" w:rsidRDefault="00DB409C" w:rsidP="00A01CA9">
      <w:pPr>
        <w:tabs>
          <w:tab w:val="left" w:pos="720"/>
        </w:tabs>
        <w:ind w:left="360"/>
        <w:rPr>
          <w:rStyle w:val="Emphasis"/>
          <w:i w:val="0"/>
        </w:rPr>
      </w:pPr>
    </w:p>
    <w:p w:rsidR="00DB409C" w:rsidRPr="00F935D4" w:rsidRDefault="008F0B8D" w:rsidP="00A01CA9">
      <w:pPr>
        <w:pStyle w:val="ListParagraph"/>
        <w:numPr>
          <w:ilvl w:val="0"/>
          <w:numId w:val="19"/>
        </w:numPr>
        <w:tabs>
          <w:tab w:val="left" w:pos="720"/>
        </w:tabs>
        <w:ind w:firstLine="0"/>
        <w:rPr>
          <w:rStyle w:val="Emphasis"/>
          <w:i w:val="0"/>
        </w:rPr>
      </w:pPr>
      <w:r w:rsidRPr="00F935D4">
        <w:rPr>
          <w:rStyle w:val="Emphasis"/>
          <w:i w:val="0"/>
        </w:rPr>
        <w:t>Similar to the assignment grant, t</w:t>
      </w:r>
      <w:r w:rsidR="00DB409C" w:rsidRPr="00F935D4">
        <w:rPr>
          <w:rStyle w:val="Emphasis"/>
          <w:i w:val="0"/>
        </w:rPr>
        <w:t>he settling-</w:t>
      </w:r>
      <w:r w:rsidRPr="00F935D4">
        <w:rPr>
          <w:rStyle w:val="Emphasis"/>
          <w:i w:val="0"/>
        </w:rPr>
        <w:t xml:space="preserve">in </w:t>
      </w:r>
      <w:r w:rsidR="00DB409C" w:rsidRPr="00F935D4">
        <w:rPr>
          <w:rStyle w:val="Emphasis"/>
          <w:i w:val="0"/>
        </w:rPr>
        <w:t>grant shall be payable when a staff member has been authorised to travel for purposes of taking up an appointment/assignment/transfer/reassignment that involves relocation from beyond commuting distance from the duty station and necessitating a change of residence.</w:t>
      </w:r>
    </w:p>
    <w:p w:rsidR="00DB409C" w:rsidRPr="00F935D4" w:rsidRDefault="00DB409C" w:rsidP="00A01CA9">
      <w:pPr>
        <w:tabs>
          <w:tab w:val="left" w:pos="720"/>
        </w:tabs>
        <w:ind w:left="360"/>
        <w:rPr>
          <w:rStyle w:val="Emphasis"/>
          <w:i w:val="0"/>
        </w:rPr>
      </w:pPr>
    </w:p>
    <w:p w:rsidR="00A22490" w:rsidRDefault="00A22490" w:rsidP="00A01CA9">
      <w:pPr>
        <w:pStyle w:val="ListParagraph"/>
        <w:numPr>
          <w:ilvl w:val="0"/>
          <w:numId w:val="19"/>
        </w:numPr>
        <w:tabs>
          <w:tab w:val="left" w:pos="720"/>
        </w:tabs>
        <w:ind w:firstLine="0"/>
        <w:rPr>
          <w:rStyle w:val="Emphasis"/>
          <w:i w:val="0"/>
        </w:rPr>
      </w:pPr>
      <w:r>
        <w:rPr>
          <w:rStyle w:val="Emphasis"/>
          <w:i w:val="0"/>
        </w:rPr>
        <w:t>T</w:t>
      </w:r>
      <w:r w:rsidR="00DB409C" w:rsidRPr="00F935D4">
        <w:rPr>
          <w:rStyle w:val="Emphasis"/>
          <w:i w:val="0"/>
        </w:rPr>
        <w:t xml:space="preserve">he settling-in grant consists of two components payable to a staff member holding a fixed-term, continuing or permanent appointment and assigned to a new duty station for a period of one year or longer: 30 days daily subsistence allowance (DSA) at the rate applicable to the duty station and </w:t>
      </w:r>
      <w:r>
        <w:rPr>
          <w:rStyle w:val="Emphasis"/>
          <w:i w:val="0"/>
        </w:rPr>
        <w:t xml:space="preserve">a lump-sum payment of </w:t>
      </w:r>
      <w:r w:rsidR="00DB409C" w:rsidRPr="00F935D4">
        <w:rPr>
          <w:rStyle w:val="Emphasis"/>
          <w:i w:val="0"/>
        </w:rPr>
        <w:t>one month net base salary plus post adjustment applicable to the duty station of assignment.</w:t>
      </w:r>
      <w:r>
        <w:rPr>
          <w:rStyle w:val="Emphasis"/>
          <w:i w:val="0"/>
        </w:rPr>
        <w:t xml:space="preserve">  Different from the assignment grant, the lump-sum</w:t>
      </w:r>
      <w:r w:rsidR="007F5C65">
        <w:rPr>
          <w:rStyle w:val="Emphasis"/>
          <w:i w:val="0"/>
        </w:rPr>
        <w:t xml:space="preserve"> portion of the settling-in grant</w:t>
      </w:r>
      <w:r>
        <w:rPr>
          <w:rStyle w:val="Emphasis"/>
          <w:i w:val="0"/>
        </w:rPr>
        <w:t xml:space="preserve"> is also payable</w:t>
      </w:r>
      <w:r w:rsidR="007F5C65">
        <w:rPr>
          <w:rStyle w:val="Emphasis"/>
          <w:i w:val="0"/>
        </w:rPr>
        <w:t xml:space="preserve"> to staff members</w:t>
      </w:r>
      <w:r>
        <w:rPr>
          <w:rStyle w:val="Emphasis"/>
          <w:i w:val="0"/>
        </w:rPr>
        <w:t xml:space="preserve"> </w:t>
      </w:r>
      <w:r w:rsidR="007F5C65">
        <w:rPr>
          <w:rStyle w:val="Emphasis"/>
          <w:i w:val="0"/>
        </w:rPr>
        <w:t xml:space="preserve">at H duty stations who opt for </w:t>
      </w:r>
      <w:r w:rsidR="0045597B">
        <w:rPr>
          <w:rStyle w:val="Emphasis"/>
          <w:i w:val="0"/>
        </w:rPr>
        <w:t xml:space="preserve">relocation shipment for </w:t>
      </w:r>
      <w:r w:rsidR="007F5C65">
        <w:rPr>
          <w:rStyle w:val="Emphasis"/>
          <w:i w:val="0"/>
        </w:rPr>
        <w:t xml:space="preserve">full removal of personal effects. </w:t>
      </w:r>
      <w:r>
        <w:rPr>
          <w:rStyle w:val="Emphasis"/>
          <w:i w:val="0"/>
        </w:rPr>
        <w:t xml:space="preserve">    </w:t>
      </w:r>
      <w:r w:rsidR="008F0B8D" w:rsidRPr="00F935D4">
        <w:rPr>
          <w:rStyle w:val="Emphasis"/>
          <w:i w:val="0"/>
        </w:rPr>
        <w:t xml:space="preserve">  </w:t>
      </w:r>
    </w:p>
    <w:p w:rsidR="00A22490" w:rsidRPr="00A22490" w:rsidRDefault="00A22490" w:rsidP="006B1EA7">
      <w:pPr>
        <w:pStyle w:val="ListParagraph"/>
        <w:rPr>
          <w:rStyle w:val="Emphasis"/>
          <w:i w:val="0"/>
        </w:rPr>
      </w:pPr>
    </w:p>
    <w:p w:rsidR="00DB409C" w:rsidRPr="00F935D4" w:rsidRDefault="00455122" w:rsidP="00A01CA9">
      <w:pPr>
        <w:pStyle w:val="ListParagraph"/>
        <w:numPr>
          <w:ilvl w:val="0"/>
          <w:numId w:val="19"/>
        </w:numPr>
        <w:tabs>
          <w:tab w:val="left" w:pos="720"/>
        </w:tabs>
        <w:ind w:firstLine="0"/>
        <w:rPr>
          <w:rStyle w:val="Emphasis"/>
          <w:i w:val="0"/>
        </w:rPr>
      </w:pPr>
      <w:r w:rsidRPr="00F935D4">
        <w:rPr>
          <w:rStyle w:val="Emphasis"/>
          <w:i w:val="0"/>
        </w:rPr>
        <w:t xml:space="preserve">A staff member holding a fixed-term, continuing or permanent appointment and assigned to a new duty station </w:t>
      </w:r>
      <w:r w:rsidR="00043476">
        <w:rPr>
          <w:rStyle w:val="Emphasis"/>
          <w:i w:val="0"/>
        </w:rPr>
        <w:t xml:space="preserve">on or after 1 July 2016 </w:t>
      </w:r>
      <w:r w:rsidRPr="00F935D4">
        <w:rPr>
          <w:rStyle w:val="Emphasis"/>
          <w:i w:val="0"/>
        </w:rPr>
        <w:t xml:space="preserve">for a period of less than one year shall be administered as per the provisions of </w:t>
      </w:r>
      <w:r w:rsidR="002316EA" w:rsidRPr="00F935D4">
        <w:rPr>
          <w:rStyle w:val="Emphasis"/>
          <w:i w:val="0"/>
        </w:rPr>
        <w:t>the Administrative Instruction</w:t>
      </w:r>
      <w:r w:rsidRPr="00F935D4">
        <w:rPr>
          <w:rStyle w:val="Emphasis"/>
          <w:i w:val="0"/>
        </w:rPr>
        <w:t xml:space="preserve"> on Settling-in grant. </w:t>
      </w:r>
      <w:r w:rsidR="008F0B8D" w:rsidRPr="00F935D4">
        <w:rPr>
          <w:rStyle w:val="Emphasis"/>
          <w:i w:val="0"/>
        </w:rPr>
        <w:t>A staff member holding a temporary appointment who has been authorised to travel by the United Nations to take up an appointment, may be paid a settling-</w:t>
      </w:r>
      <w:r w:rsidR="00A22490">
        <w:rPr>
          <w:rStyle w:val="Emphasis"/>
          <w:i w:val="0"/>
        </w:rPr>
        <w:t xml:space="preserve">in </w:t>
      </w:r>
      <w:r w:rsidR="008F0B8D" w:rsidRPr="00F935D4">
        <w:rPr>
          <w:rStyle w:val="Emphasis"/>
          <w:i w:val="0"/>
        </w:rPr>
        <w:t xml:space="preserve">grant consisting of 30 days DSA applicable to the duty station only in respect of himself/herself.  The settling-in grant is not payable </w:t>
      </w:r>
      <w:r w:rsidR="00125CCF" w:rsidRPr="00F935D4">
        <w:rPr>
          <w:rStyle w:val="Emphasis"/>
          <w:i w:val="0"/>
        </w:rPr>
        <w:t xml:space="preserve">in respect of </w:t>
      </w:r>
      <w:r w:rsidR="008F0B8D" w:rsidRPr="00F935D4">
        <w:rPr>
          <w:rStyle w:val="Emphasis"/>
          <w:i w:val="0"/>
        </w:rPr>
        <w:t>eligible family members of staff members holding a temporary appointment irrespective of the duration of the appointment or whether the staff member is appointed to serve in a family duty station.</w:t>
      </w:r>
    </w:p>
    <w:p w:rsidR="008F0B8D" w:rsidRPr="00F935D4" w:rsidRDefault="008F0B8D" w:rsidP="00F935D4">
      <w:pPr>
        <w:rPr>
          <w:rStyle w:val="Emphasis"/>
          <w:i w:val="0"/>
        </w:rPr>
      </w:pPr>
    </w:p>
    <w:p w:rsidR="008F0B8D" w:rsidRPr="00F935D4" w:rsidRDefault="008F0B8D" w:rsidP="00A01CA9">
      <w:pPr>
        <w:pStyle w:val="ListParagraph"/>
        <w:numPr>
          <w:ilvl w:val="0"/>
          <w:numId w:val="19"/>
        </w:numPr>
        <w:ind w:firstLine="0"/>
        <w:rPr>
          <w:rStyle w:val="Emphasis"/>
          <w:i w:val="0"/>
        </w:rPr>
      </w:pPr>
      <w:r w:rsidRPr="00F935D4">
        <w:rPr>
          <w:rStyle w:val="Emphasis"/>
          <w:i w:val="0"/>
        </w:rPr>
        <w:t xml:space="preserve">As part of the settling-in grant, 30 days DSA at half the applicable rate may be paid to </w:t>
      </w:r>
      <w:r w:rsidR="00125CCF" w:rsidRPr="00F935D4">
        <w:rPr>
          <w:rStyle w:val="Emphasis"/>
          <w:i w:val="0"/>
        </w:rPr>
        <w:t xml:space="preserve">the staff member in respect of </w:t>
      </w:r>
      <w:r w:rsidRPr="00F935D4">
        <w:rPr>
          <w:rStyle w:val="Emphasis"/>
          <w:i w:val="0"/>
        </w:rPr>
        <w:t>each eligible family member recognised by the United Nations at the time of the appointment/assignment/transfer/reassignment and travelled to the duty station at United Nations expense for the purpose of accompanying the staff member on the appointment/assignment.  The settling-in grant is not payable to family members of staff members appointed/assigned to non-family duty stations as the United Nations does not travel eligible family members to non-family duty stations.</w:t>
      </w:r>
    </w:p>
    <w:p w:rsidR="008F0B8D" w:rsidRPr="00F935D4" w:rsidRDefault="008F0B8D" w:rsidP="00A01CA9">
      <w:pPr>
        <w:ind w:left="360"/>
        <w:rPr>
          <w:rStyle w:val="Emphasis"/>
          <w:i w:val="0"/>
        </w:rPr>
      </w:pPr>
    </w:p>
    <w:p w:rsidR="008F0B8D" w:rsidRPr="00F935D4" w:rsidRDefault="008F0B8D" w:rsidP="00A01CA9">
      <w:pPr>
        <w:pStyle w:val="ListParagraph"/>
        <w:numPr>
          <w:ilvl w:val="0"/>
          <w:numId w:val="19"/>
        </w:numPr>
        <w:ind w:firstLine="0"/>
        <w:rPr>
          <w:rStyle w:val="Emphasis"/>
          <w:i w:val="0"/>
        </w:rPr>
      </w:pPr>
      <w:r w:rsidRPr="00F935D4">
        <w:rPr>
          <w:rStyle w:val="Emphasis"/>
          <w:i w:val="0"/>
        </w:rPr>
        <w:t>The settling-in grant shall be administered as per the provisions of ST/AI/</w:t>
      </w:r>
      <w:r w:rsidR="0033468C" w:rsidRPr="00F935D4">
        <w:rPr>
          <w:rStyle w:val="Emphasis"/>
          <w:i w:val="0"/>
        </w:rPr>
        <w:t>201</w:t>
      </w:r>
      <w:r w:rsidR="0033468C">
        <w:rPr>
          <w:rStyle w:val="Emphasis"/>
          <w:i w:val="0"/>
        </w:rPr>
        <w:t>6</w:t>
      </w:r>
      <w:r w:rsidR="00967FA3" w:rsidRPr="00F935D4">
        <w:rPr>
          <w:rStyle w:val="Emphasis"/>
          <w:i w:val="0"/>
        </w:rPr>
        <w:t>/</w:t>
      </w:r>
      <w:r w:rsidR="00184475">
        <w:rPr>
          <w:rStyle w:val="Emphasis"/>
          <w:i w:val="0"/>
        </w:rPr>
        <w:t>5</w:t>
      </w:r>
      <w:r w:rsidR="00967FA3" w:rsidRPr="00F935D4">
        <w:rPr>
          <w:rStyle w:val="Emphasis"/>
          <w:i w:val="0"/>
        </w:rPr>
        <w:t xml:space="preserve"> or as amended with the exception of the measures indicated in the paragraphs</w:t>
      </w:r>
      <w:r w:rsidR="00812FEB" w:rsidRPr="00F935D4">
        <w:rPr>
          <w:rStyle w:val="Emphasis"/>
          <w:i w:val="0"/>
        </w:rPr>
        <w:t xml:space="preserve"> below</w:t>
      </w:r>
      <w:r w:rsidRPr="00F935D4">
        <w:rPr>
          <w:rStyle w:val="Emphasis"/>
          <w:i w:val="0"/>
        </w:rPr>
        <w:t xml:space="preserve">. </w:t>
      </w:r>
    </w:p>
    <w:p w:rsidR="00DB409C" w:rsidRPr="00F935D4" w:rsidRDefault="00DB409C" w:rsidP="00F935D4">
      <w:pPr>
        <w:rPr>
          <w:rStyle w:val="Emphasis"/>
          <w:i w:val="0"/>
        </w:rPr>
      </w:pPr>
    </w:p>
    <w:p w:rsidR="00DB409C" w:rsidRPr="0016598F" w:rsidRDefault="00DB409C" w:rsidP="00543FDC">
      <w:pPr>
        <w:ind w:left="720"/>
        <w:rPr>
          <w:rStyle w:val="Emphasis"/>
          <w:b/>
        </w:rPr>
      </w:pPr>
      <w:r w:rsidRPr="0016598F">
        <w:rPr>
          <w:rStyle w:val="Emphasis"/>
          <w:b/>
        </w:rPr>
        <w:t>Second lump-sum</w:t>
      </w:r>
      <w:r w:rsidR="00543FDC" w:rsidRPr="0016598F">
        <w:rPr>
          <w:rStyle w:val="Emphasis"/>
          <w:b/>
        </w:rPr>
        <w:t xml:space="preserve"> of assignment grant</w:t>
      </w:r>
    </w:p>
    <w:p w:rsidR="00DB409C" w:rsidRPr="00F935D4" w:rsidRDefault="00DB409C" w:rsidP="00F935D4">
      <w:pPr>
        <w:rPr>
          <w:rStyle w:val="Emphasis"/>
          <w:i w:val="0"/>
        </w:rPr>
      </w:pPr>
    </w:p>
    <w:p w:rsidR="00DB409C" w:rsidRPr="00F935D4" w:rsidRDefault="00DB409C" w:rsidP="00A01CA9">
      <w:pPr>
        <w:pStyle w:val="ListParagraph"/>
        <w:numPr>
          <w:ilvl w:val="0"/>
          <w:numId w:val="19"/>
        </w:numPr>
        <w:ind w:firstLine="0"/>
        <w:rPr>
          <w:rStyle w:val="Emphasis"/>
          <w:i w:val="0"/>
        </w:rPr>
      </w:pPr>
      <w:r w:rsidRPr="00F935D4">
        <w:rPr>
          <w:rStyle w:val="Emphasis"/>
          <w:i w:val="0"/>
        </w:rPr>
        <w:t xml:space="preserve">Effective 1 July 2016, the second </w:t>
      </w:r>
      <w:r w:rsidR="008F0B8D" w:rsidRPr="00F935D4">
        <w:rPr>
          <w:rStyle w:val="Emphasis"/>
          <w:i w:val="0"/>
        </w:rPr>
        <w:t xml:space="preserve">month </w:t>
      </w:r>
      <w:r w:rsidRPr="00F935D4">
        <w:rPr>
          <w:rStyle w:val="Emphasis"/>
          <w:i w:val="0"/>
        </w:rPr>
        <w:t xml:space="preserve">lump-sum of the </w:t>
      </w:r>
      <w:r w:rsidR="008F0B8D" w:rsidRPr="00F935D4">
        <w:rPr>
          <w:rStyle w:val="Emphasis"/>
          <w:i w:val="0"/>
        </w:rPr>
        <w:t xml:space="preserve">previous </w:t>
      </w:r>
      <w:r w:rsidRPr="00F935D4">
        <w:rPr>
          <w:rStyle w:val="Emphasis"/>
          <w:i w:val="0"/>
        </w:rPr>
        <w:t xml:space="preserve">assignment grant is discontinued.  Staff members appointed/assigned/transferred/reassigned to a new A to E duty station on or after 1 July 2016 are not entitled to payment of a second </w:t>
      </w:r>
      <w:r w:rsidR="008F0B8D" w:rsidRPr="00F935D4">
        <w:rPr>
          <w:rStyle w:val="Emphasis"/>
          <w:i w:val="0"/>
        </w:rPr>
        <w:t xml:space="preserve">month </w:t>
      </w:r>
      <w:r w:rsidRPr="00F935D4">
        <w:rPr>
          <w:rStyle w:val="Emphasis"/>
          <w:i w:val="0"/>
        </w:rPr>
        <w:t>lump sum payment.</w:t>
      </w:r>
    </w:p>
    <w:p w:rsidR="00DB409C" w:rsidRPr="00F935D4" w:rsidRDefault="00DB409C" w:rsidP="00F935D4">
      <w:pPr>
        <w:rPr>
          <w:rStyle w:val="Emphasis"/>
          <w:i w:val="0"/>
        </w:rPr>
      </w:pPr>
    </w:p>
    <w:p w:rsidR="00DB409C" w:rsidRPr="0016598F" w:rsidRDefault="008F0B8D" w:rsidP="00543FDC">
      <w:pPr>
        <w:ind w:left="720"/>
        <w:rPr>
          <w:rStyle w:val="Emphasis"/>
          <w:b/>
        </w:rPr>
      </w:pPr>
      <w:r w:rsidRPr="0016598F">
        <w:rPr>
          <w:rStyle w:val="Emphasis"/>
          <w:b/>
        </w:rPr>
        <w:t>Special m</w:t>
      </w:r>
      <w:r w:rsidR="00DB409C" w:rsidRPr="0016598F">
        <w:rPr>
          <w:rStyle w:val="Emphasis"/>
          <w:b/>
        </w:rPr>
        <w:t xml:space="preserve">easure for second </w:t>
      </w:r>
      <w:r w:rsidRPr="0016598F">
        <w:rPr>
          <w:rStyle w:val="Emphasis"/>
          <w:b/>
        </w:rPr>
        <w:t xml:space="preserve">month </w:t>
      </w:r>
      <w:r w:rsidR="00DB409C" w:rsidRPr="0016598F">
        <w:rPr>
          <w:rStyle w:val="Emphasis"/>
          <w:b/>
        </w:rPr>
        <w:t>lump-sum of assignment grant</w:t>
      </w:r>
    </w:p>
    <w:p w:rsidR="00DB409C" w:rsidRPr="00F935D4" w:rsidRDefault="00DB409C" w:rsidP="00F935D4">
      <w:pPr>
        <w:rPr>
          <w:rStyle w:val="Emphasis"/>
          <w:i w:val="0"/>
        </w:rPr>
      </w:pPr>
    </w:p>
    <w:p w:rsidR="00DB409C" w:rsidRPr="00F935D4" w:rsidRDefault="00A8465A" w:rsidP="00A01CA9">
      <w:pPr>
        <w:pStyle w:val="ListParagraph"/>
        <w:numPr>
          <w:ilvl w:val="0"/>
          <w:numId w:val="19"/>
        </w:numPr>
        <w:ind w:firstLine="0"/>
        <w:rPr>
          <w:rStyle w:val="Emphasis"/>
          <w:i w:val="0"/>
        </w:rPr>
      </w:pPr>
      <w:r>
        <w:rPr>
          <w:rStyle w:val="Emphasis"/>
          <w:i w:val="0"/>
        </w:rPr>
        <w:t>Eligible s</w:t>
      </w:r>
      <w:r w:rsidR="00DB409C" w:rsidRPr="00F935D4">
        <w:rPr>
          <w:rStyle w:val="Emphasis"/>
          <w:i w:val="0"/>
        </w:rPr>
        <w:t xml:space="preserve">taff members holding an appointment other than a temporary appointment appointed/assigned/transferred/reassigned to an A to E duty station prior to 1 July 2016, and who are expected to serve three years or longer at the A to E duty station may be paid a second </w:t>
      </w:r>
      <w:r w:rsidR="008F0B8D" w:rsidRPr="00F935D4">
        <w:rPr>
          <w:rStyle w:val="Emphasis"/>
          <w:i w:val="0"/>
        </w:rPr>
        <w:t xml:space="preserve">month </w:t>
      </w:r>
      <w:r w:rsidR="00DB409C" w:rsidRPr="00F935D4">
        <w:rPr>
          <w:rStyle w:val="Emphasis"/>
          <w:i w:val="0"/>
        </w:rPr>
        <w:t>lump-sum of the assignment grant provided</w:t>
      </w:r>
      <w:r w:rsidR="008F0B8D" w:rsidRPr="00F935D4">
        <w:rPr>
          <w:rStyle w:val="Emphasis"/>
          <w:i w:val="0"/>
        </w:rPr>
        <w:t xml:space="preserve"> that there was a legal expectation to the second month lump-sum and that</w:t>
      </w:r>
      <w:r w:rsidR="00DB409C" w:rsidRPr="00F935D4">
        <w:rPr>
          <w:rStyle w:val="Emphasis"/>
          <w:i w:val="0"/>
        </w:rPr>
        <w:t xml:space="preserve"> all conditions for the payment are met.  Where there is an expectation that the staff member will serve more than three years in the duty station but the period is shortened, a pro-rated lump-sum may be payable</w:t>
      </w:r>
      <w:r w:rsidR="008F0B8D" w:rsidRPr="00F935D4">
        <w:rPr>
          <w:rStyle w:val="Emphasis"/>
          <w:i w:val="0"/>
        </w:rPr>
        <w:t xml:space="preserve">.  </w:t>
      </w:r>
      <w:r w:rsidR="00DB409C" w:rsidRPr="00F935D4">
        <w:rPr>
          <w:rStyle w:val="Emphasis"/>
          <w:i w:val="0"/>
        </w:rPr>
        <w:t xml:space="preserve">  The pro-rated lump-sum shall be in the proportion that the period of service in the third year of assignment bears to twelve months.  </w:t>
      </w:r>
      <w:r w:rsidR="008F0B8D" w:rsidRPr="00F935D4">
        <w:rPr>
          <w:rStyle w:val="Emphasis"/>
          <w:i w:val="0"/>
        </w:rPr>
        <w:t>Where the reduction in service in the duty station is at the Organisation’s initiative</w:t>
      </w:r>
      <w:r w:rsidR="005E3BAB" w:rsidRPr="00F935D4">
        <w:rPr>
          <w:rStyle w:val="Emphasis"/>
          <w:i w:val="0"/>
        </w:rPr>
        <w:t xml:space="preserve"> e.g. closure or restructuring of the mission or reasons beyond the control of the staff member</w:t>
      </w:r>
      <w:r w:rsidR="008F0B8D" w:rsidRPr="00F935D4">
        <w:rPr>
          <w:rStyle w:val="Emphasis"/>
          <w:i w:val="0"/>
        </w:rPr>
        <w:t xml:space="preserve">, or for compelling reasons such as health, a waiver of the payment </w:t>
      </w:r>
      <w:r w:rsidR="005E3BAB" w:rsidRPr="00F935D4">
        <w:rPr>
          <w:rStyle w:val="Emphasis"/>
          <w:i w:val="0"/>
        </w:rPr>
        <w:t xml:space="preserve">may </w:t>
      </w:r>
      <w:r w:rsidR="008F0B8D" w:rsidRPr="00F935D4">
        <w:rPr>
          <w:rStyle w:val="Emphasis"/>
          <w:i w:val="0"/>
        </w:rPr>
        <w:t xml:space="preserve">exceptionally be granted.  Such exceptional </w:t>
      </w:r>
      <w:r w:rsidR="00AB663D" w:rsidRPr="00F935D4">
        <w:rPr>
          <w:rStyle w:val="Emphasis"/>
          <w:i w:val="0"/>
        </w:rPr>
        <w:t>requests</w:t>
      </w:r>
      <w:r w:rsidR="008F0B8D" w:rsidRPr="00F935D4">
        <w:rPr>
          <w:rStyle w:val="Emphasis"/>
          <w:i w:val="0"/>
        </w:rPr>
        <w:t xml:space="preserve"> </w:t>
      </w:r>
      <w:r w:rsidR="00872106" w:rsidRPr="00F935D4">
        <w:rPr>
          <w:rStyle w:val="Emphasis"/>
          <w:i w:val="0"/>
        </w:rPr>
        <w:t xml:space="preserve">may only be granted by the ASG, OHRM.  Consequently, such requests should be submitted to </w:t>
      </w:r>
      <w:r w:rsidR="00184475">
        <w:rPr>
          <w:rStyle w:val="Emphasis"/>
          <w:i w:val="0"/>
        </w:rPr>
        <w:t xml:space="preserve">the responsible office (e.g. </w:t>
      </w:r>
      <w:r w:rsidR="00872106" w:rsidRPr="00F935D4">
        <w:rPr>
          <w:rStyle w:val="Emphasis"/>
          <w:i w:val="0"/>
        </w:rPr>
        <w:t>FPD</w:t>
      </w:r>
      <w:r w:rsidR="00184475">
        <w:rPr>
          <w:rStyle w:val="Emphasis"/>
          <w:i w:val="0"/>
        </w:rPr>
        <w:t>/DFS, OCHA, OAHs, Regional Commissions)</w:t>
      </w:r>
      <w:r w:rsidR="00872106" w:rsidRPr="00F935D4">
        <w:rPr>
          <w:rStyle w:val="Emphasis"/>
          <w:i w:val="0"/>
        </w:rPr>
        <w:t xml:space="preserve"> for review and submission to OHRM for consideration.  </w:t>
      </w:r>
      <w:r w:rsidR="00DB409C" w:rsidRPr="00F935D4">
        <w:rPr>
          <w:rStyle w:val="Emphasis"/>
          <w:i w:val="0"/>
        </w:rPr>
        <w:t>Upon reassignment to a new A to E duty station</w:t>
      </w:r>
      <w:r w:rsidR="001D4786">
        <w:rPr>
          <w:rStyle w:val="Emphasis"/>
          <w:i w:val="0"/>
        </w:rPr>
        <w:t xml:space="preserve"> on or after 1 July 2016</w:t>
      </w:r>
      <w:r w:rsidR="00DB409C" w:rsidRPr="00F935D4">
        <w:rPr>
          <w:rStyle w:val="Emphasis"/>
          <w:i w:val="0"/>
        </w:rPr>
        <w:t>, the second month lump sum payment will no longer be payable irrespective of the expected duration of service in the new duty station.</w:t>
      </w:r>
    </w:p>
    <w:p w:rsidR="00FE46AF" w:rsidRPr="00F935D4" w:rsidRDefault="00FE46AF" w:rsidP="00A01CA9">
      <w:pPr>
        <w:ind w:left="360"/>
        <w:rPr>
          <w:rStyle w:val="Emphasis"/>
          <w:i w:val="0"/>
        </w:rPr>
      </w:pPr>
    </w:p>
    <w:p w:rsidR="004B4DC0" w:rsidRPr="00F935D4" w:rsidRDefault="00E41AD3" w:rsidP="00A01CA9">
      <w:pPr>
        <w:pStyle w:val="ListParagraph"/>
        <w:numPr>
          <w:ilvl w:val="0"/>
          <w:numId w:val="19"/>
        </w:numPr>
        <w:ind w:firstLine="0"/>
        <w:rPr>
          <w:rStyle w:val="Emphasis"/>
          <w:i w:val="0"/>
        </w:rPr>
      </w:pPr>
      <w:r w:rsidRPr="00F935D4">
        <w:rPr>
          <w:rStyle w:val="Emphasis"/>
          <w:i w:val="0"/>
        </w:rPr>
        <w:t>P</w:t>
      </w:r>
      <w:r w:rsidR="00FE46AF" w:rsidRPr="00F935D4">
        <w:rPr>
          <w:rStyle w:val="Emphasis"/>
          <w:i w:val="0"/>
        </w:rPr>
        <w:t>ayment of the second month lump-sum shall be on the basis of the staff member</w:t>
      </w:r>
      <w:r w:rsidR="00812ABD" w:rsidRPr="00F935D4">
        <w:rPr>
          <w:rStyle w:val="Emphasis"/>
          <w:i w:val="0"/>
        </w:rPr>
        <w:t>’</w:t>
      </w:r>
      <w:r w:rsidR="00FE46AF" w:rsidRPr="00F935D4">
        <w:rPr>
          <w:rStyle w:val="Emphasis"/>
          <w:i w:val="0"/>
        </w:rPr>
        <w:t xml:space="preserve">s net base salary </w:t>
      </w:r>
      <w:r w:rsidR="00AD1391" w:rsidRPr="00F935D4">
        <w:rPr>
          <w:rStyle w:val="Emphasis"/>
          <w:i w:val="0"/>
        </w:rPr>
        <w:t xml:space="preserve">plus </w:t>
      </w:r>
      <w:r w:rsidR="00FE46AF" w:rsidRPr="00F935D4">
        <w:rPr>
          <w:rStyle w:val="Emphasis"/>
          <w:i w:val="0"/>
        </w:rPr>
        <w:t xml:space="preserve">post adjustment </w:t>
      </w:r>
      <w:r w:rsidRPr="00F935D4">
        <w:rPr>
          <w:rStyle w:val="Emphasis"/>
          <w:i w:val="0"/>
        </w:rPr>
        <w:t xml:space="preserve">applicable to </w:t>
      </w:r>
      <w:r w:rsidR="00FE46AF" w:rsidRPr="00F935D4">
        <w:rPr>
          <w:rStyle w:val="Emphasis"/>
          <w:i w:val="0"/>
        </w:rPr>
        <w:t xml:space="preserve">the duty station </w:t>
      </w:r>
      <w:r w:rsidRPr="00F935D4">
        <w:rPr>
          <w:rStyle w:val="Emphasis"/>
          <w:i w:val="0"/>
        </w:rPr>
        <w:t xml:space="preserve">of appointment or assignment </w:t>
      </w:r>
      <w:r w:rsidR="00FE46AF" w:rsidRPr="00F935D4">
        <w:rPr>
          <w:rStyle w:val="Emphasis"/>
          <w:i w:val="0"/>
        </w:rPr>
        <w:t xml:space="preserve">at the time that the payment </w:t>
      </w:r>
      <w:r w:rsidRPr="00F935D4">
        <w:rPr>
          <w:rStyle w:val="Emphasis"/>
          <w:i w:val="0"/>
        </w:rPr>
        <w:t>is</w:t>
      </w:r>
      <w:r w:rsidR="00FE46AF" w:rsidRPr="00F935D4">
        <w:rPr>
          <w:rStyle w:val="Emphasis"/>
          <w:i w:val="0"/>
        </w:rPr>
        <w:t xml:space="preserve"> due. </w:t>
      </w:r>
      <w:r w:rsidR="004B4DC0" w:rsidRPr="00F935D4">
        <w:rPr>
          <w:rStyle w:val="Emphasis"/>
          <w:i w:val="0"/>
        </w:rPr>
        <w:t>The transitional allowance, single parent allowance and spouse allowance are not included in the calculation of the lump-sum portion of the settling-in grant payable on or after 1 January 2017.</w:t>
      </w:r>
      <w:r w:rsidR="004B4DC0" w:rsidRPr="00F935D4">
        <w:rPr>
          <w:rStyle w:val="Emphasis"/>
          <w:rFonts w:eastAsia="Arial"/>
          <w:i w:val="0"/>
        </w:rPr>
        <w:t xml:space="preserve"> </w:t>
      </w:r>
    </w:p>
    <w:p w:rsidR="00812ABD" w:rsidRPr="00F935D4" w:rsidRDefault="00812ABD" w:rsidP="00F935D4">
      <w:pPr>
        <w:rPr>
          <w:rStyle w:val="Emphasis"/>
          <w:i w:val="0"/>
        </w:rPr>
      </w:pPr>
    </w:p>
    <w:p w:rsidR="001D4786" w:rsidRDefault="00812ABD" w:rsidP="00A01CA9">
      <w:pPr>
        <w:pStyle w:val="ListParagraph"/>
        <w:numPr>
          <w:ilvl w:val="0"/>
          <w:numId w:val="19"/>
        </w:numPr>
        <w:ind w:firstLine="0"/>
        <w:rPr>
          <w:rStyle w:val="Emphasis"/>
          <w:i w:val="0"/>
        </w:rPr>
      </w:pPr>
      <w:r w:rsidRPr="00F935D4">
        <w:rPr>
          <w:rStyle w:val="Emphasis"/>
          <w:i w:val="0"/>
        </w:rPr>
        <w:t xml:space="preserve">A staff member on temporary assignment </w:t>
      </w:r>
      <w:r w:rsidR="00115A6B" w:rsidRPr="00F935D4">
        <w:rPr>
          <w:rStyle w:val="Emphasis"/>
          <w:i w:val="0"/>
        </w:rPr>
        <w:t>involving a change in official</w:t>
      </w:r>
      <w:r w:rsidRPr="00F935D4">
        <w:rPr>
          <w:rStyle w:val="Emphasis"/>
          <w:i w:val="0"/>
        </w:rPr>
        <w:t xml:space="preserve"> duty station</w:t>
      </w:r>
      <w:r w:rsidR="00115A6B" w:rsidRPr="00F935D4">
        <w:rPr>
          <w:rStyle w:val="Emphasis"/>
          <w:i w:val="0"/>
        </w:rPr>
        <w:t xml:space="preserve"> (staff rule 4.8)</w:t>
      </w:r>
      <w:r w:rsidR="001D4786">
        <w:rPr>
          <w:rStyle w:val="Emphasis"/>
          <w:i w:val="0"/>
        </w:rPr>
        <w:t xml:space="preserve">, including assignments greater than or less than one year, may be eligible for an assignment/settling-in grant.  </w:t>
      </w:r>
    </w:p>
    <w:p w:rsidR="001D4786" w:rsidRPr="001D4786" w:rsidRDefault="001D4786" w:rsidP="006B1EA7">
      <w:pPr>
        <w:pStyle w:val="ListParagraph"/>
        <w:rPr>
          <w:rStyle w:val="Emphasis"/>
          <w:i w:val="0"/>
        </w:rPr>
      </w:pPr>
    </w:p>
    <w:p w:rsidR="001D4786" w:rsidRDefault="001D4786" w:rsidP="00A01CA9">
      <w:pPr>
        <w:pStyle w:val="ListParagraph"/>
        <w:numPr>
          <w:ilvl w:val="0"/>
          <w:numId w:val="19"/>
        </w:numPr>
        <w:ind w:firstLine="0"/>
        <w:rPr>
          <w:rStyle w:val="Emphasis"/>
          <w:i w:val="0"/>
        </w:rPr>
      </w:pPr>
      <w:r>
        <w:rPr>
          <w:rStyle w:val="Emphasis"/>
          <w:i w:val="0"/>
        </w:rPr>
        <w:t>Upon return to the parent duty station before 1 July 2016</w:t>
      </w:r>
      <w:r w:rsidR="007F5C65">
        <w:rPr>
          <w:rStyle w:val="Emphasis"/>
          <w:i w:val="0"/>
        </w:rPr>
        <w:t xml:space="preserve"> following a </w:t>
      </w:r>
      <w:r w:rsidR="007F5C65" w:rsidRPr="00F935D4">
        <w:rPr>
          <w:rStyle w:val="Emphasis"/>
          <w:i w:val="0"/>
        </w:rPr>
        <w:t>temporary assignment involving a change in official duty station</w:t>
      </w:r>
      <w:r>
        <w:rPr>
          <w:rStyle w:val="Emphasis"/>
          <w:i w:val="0"/>
        </w:rPr>
        <w:t xml:space="preserve">, the staff member may be eligible for an assignment grant (prorated as applicable).  The staff member may be eligible for the second month lump-sum </w:t>
      </w:r>
      <w:r w:rsidR="00477B44">
        <w:rPr>
          <w:rStyle w:val="Emphasis"/>
          <w:i w:val="0"/>
        </w:rPr>
        <w:t xml:space="preserve">at an A to E duty station, </w:t>
      </w:r>
      <w:r>
        <w:rPr>
          <w:rStyle w:val="Emphasis"/>
          <w:i w:val="0"/>
        </w:rPr>
        <w:t>provided there is an expectation that the staff member will serve more than three years at the duty station.  The count towards the three years starts anew upon the staff member’s return to the parent duty station.</w:t>
      </w:r>
    </w:p>
    <w:p w:rsidR="001D4786" w:rsidRPr="001D4786" w:rsidRDefault="001D4786" w:rsidP="006B1EA7">
      <w:pPr>
        <w:pStyle w:val="ListParagraph"/>
        <w:rPr>
          <w:rStyle w:val="Emphasis"/>
          <w:i w:val="0"/>
        </w:rPr>
      </w:pPr>
    </w:p>
    <w:p w:rsidR="00812ABD" w:rsidRPr="00F935D4" w:rsidRDefault="007F71BC" w:rsidP="00A01CA9">
      <w:pPr>
        <w:pStyle w:val="ListParagraph"/>
        <w:numPr>
          <w:ilvl w:val="0"/>
          <w:numId w:val="19"/>
        </w:numPr>
        <w:ind w:firstLine="0"/>
        <w:rPr>
          <w:rStyle w:val="Emphasis"/>
          <w:i w:val="0"/>
        </w:rPr>
      </w:pPr>
      <w:r>
        <w:rPr>
          <w:rStyle w:val="Emphasis"/>
          <w:i w:val="0"/>
        </w:rPr>
        <w:lastRenderedPageBreak/>
        <w:t>Upon return to the parent duty station on or after 1 July 2016, the staff member</w:t>
      </w:r>
      <w:r w:rsidRPr="00F935D4">
        <w:rPr>
          <w:rStyle w:val="Emphasis"/>
          <w:i w:val="0"/>
        </w:rPr>
        <w:t xml:space="preserve"> shall not be eligible for the second month lump-sum.</w:t>
      </w:r>
    </w:p>
    <w:p w:rsidR="00872106" w:rsidRDefault="00872106" w:rsidP="00F935D4">
      <w:pPr>
        <w:rPr>
          <w:rStyle w:val="Emphasis"/>
          <w:i w:val="0"/>
        </w:rPr>
      </w:pPr>
    </w:p>
    <w:p w:rsidR="00A01CA9" w:rsidRPr="00F935D4" w:rsidRDefault="00A01CA9" w:rsidP="00F935D4">
      <w:pPr>
        <w:rPr>
          <w:rStyle w:val="Emphasis"/>
          <w:i w:val="0"/>
        </w:rPr>
      </w:pPr>
    </w:p>
    <w:p w:rsidR="00DB409C" w:rsidRPr="0016598F" w:rsidRDefault="00DB409C" w:rsidP="00F935D4">
      <w:pPr>
        <w:pStyle w:val="ListParagraph"/>
        <w:numPr>
          <w:ilvl w:val="0"/>
          <w:numId w:val="18"/>
        </w:numPr>
        <w:rPr>
          <w:rStyle w:val="Emphasis"/>
          <w:b/>
          <w:i w:val="0"/>
        </w:rPr>
      </w:pPr>
      <w:r w:rsidRPr="00F935D4">
        <w:rPr>
          <w:rStyle w:val="Emphasis"/>
          <w:i w:val="0"/>
        </w:rPr>
        <w:t xml:space="preserve">  </w:t>
      </w:r>
      <w:r w:rsidR="00583C1E" w:rsidRPr="0016598F">
        <w:rPr>
          <w:rStyle w:val="Emphasis"/>
          <w:b/>
          <w:i w:val="0"/>
        </w:rPr>
        <w:t>Relocation shipment</w:t>
      </w:r>
    </w:p>
    <w:p w:rsidR="00DB409C" w:rsidRPr="00F935D4" w:rsidRDefault="00DB409C" w:rsidP="00F935D4">
      <w:pPr>
        <w:rPr>
          <w:rStyle w:val="Emphasis"/>
          <w:i w:val="0"/>
        </w:rPr>
      </w:pPr>
    </w:p>
    <w:p w:rsidR="00EA575E" w:rsidRPr="00F935D4" w:rsidRDefault="00DB409C" w:rsidP="00A01CA9">
      <w:pPr>
        <w:pStyle w:val="ListParagraph"/>
        <w:numPr>
          <w:ilvl w:val="0"/>
          <w:numId w:val="19"/>
        </w:numPr>
        <w:tabs>
          <w:tab w:val="left" w:pos="720"/>
        </w:tabs>
        <w:ind w:firstLine="0"/>
        <w:rPr>
          <w:rStyle w:val="Emphasis"/>
          <w:i w:val="0"/>
        </w:rPr>
      </w:pPr>
      <w:r w:rsidRPr="00F935D4">
        <w:rPr>
          <w:rStyle w:val="Emphasis"/>
          <w:i w:val="0"/>
        </w:rPr>
        <w:t xml:space="preserve">Staff members in the professional </w:t>
      </w:r>
      <w:r w:rsidR="00EA575E" w:rsidRPr="00F935D4">
        <w:rPr>
          <w:rStyle w:val="Emphasis"/>
          <w:i w:val="0"/>
        </w:rPr>
        <w:t xml:space="preserve">and </w:t>
      </w:r>
      <w:r w:rsidRPr="00F935D4">
        <w:rPr>
          <w:rStyle w:val="Emphasis"/>
          <w:i w:val="0"/>
        </w:rPr>
        <w:t>higher categories and field service category</w:t>
      </w:r>
      <w:r w:rsidR="00A8465A">
        <w:rPr>
          <w:rStyle w:val="Emphasis"/>
          <w:i w:val="0"/>
        </w:rPr>
        <w:t xml:space="preserve"> and internationally recruited general service staff</w:t>
      </w:r>
      <w:r w:rsidRPr="00F935D4">
        <w:rPr>
          <w:rStyle w:val="Emphasis"/>
          <w:i w:val="0"/>
        </w:rPr>
        <w:t xml:space="preserve"> appointed/assigned/transferred/reassigned </w:t>
      </w:r>
      <w:r w:rsidR="00EA575E" w:rsidRPr="00F935D4">
        <w:rPr>
          <w:rStyle w:val="Emphasis"/>
          <w:i w:val="0"/>
        </w:rPr>
        <w:t xml:space="preserve">to a new duty station or who separate from service </w:t>
      </w:r>
      <w:r w:rsidRPr="00F935D4">
        <w:rPr>
          <w:rStyle w:val="Emphasis"/>
          <w:i w:val="0"/>
        </w:rPr>
        <w:t xml:space="preserve">and hold an appointment other than a temporary appointment </w:t>
      </w:r>
      <w:r w:rsidR="00EA575E" w:rsidRPr="00F935D4">
        <w:rPr>
          <w:rStyle w:val="Emphasis"/>
          <w:i w:val="0"/>
        </w:rPr>
        <w:t xml:space="preserve">and for whom the Organisation has an obligation to travel </w:t>
      </w:r>
      <w:r w:rsidRPr="00F935D4">
        <w:rPr>
          <w:rStyle w:val="Emphasis"/>
          <w:i w:val="0"/>
        </w:rPr>
        <w:t>may be entitled to shipment of personal effects and household goods to</w:t>
      </w:r>
      <w:r w:rsidR="00EA575E" w:rsidRPr="00F935D4">
        <w:rPr>
          <w:rStyle w:val="Emphasis"/>
          <w:i w:val="0"/>
        </w:rPr>
        <w:t xml:space="preserve"> or from </w:t>
      </w:r>
      <w:r w:rsidRPr="00F935D4">
        <w:rPr>
          <w:rStyle w:val="Emphasis"/>
          <w:i w:val="0"/>
        </w:rPr>
        <w:t xml:space="preserve">the duty station of appointment/assignment.  </w:t>
      </w:r>
      <w:r w:rsidR="00EA575E" w:rsidRPr="00F935D4">
        <w:rPr>
          <w:rStyle w:val="Emphasis"/>
          <w:i w:val="0"/>
        </w:rPr>
        <w:t xml:space="preserve">For staff members with an assignment/appointment that is expected to be of </w:t>
      </w:r>
      <w:r w:rsidR="00583C1E" w:rsidRPr="00F935D4">
        <w:rPr>
          <w:rStyle w:val="Emphasis"/>
          <w:i w:val="0"/>
        </w:rPr>
        <w:t xml:space="preserve">a period of </w:t>
      </w:r>
      <w:r w:rsidR="00EA575E" w:rsidRPr="00F935D4">
        <w:rPr>
          <w:rStyle w:val="Emphasis"/>
          <w:i w:val="0"/>
        </w:rPr>
        <w:t xml:space="preserve">two years or longer </w:t>
      </w:r>
      <w:r w:rsidR="00583C1E" w:rsidRPr="00F935D4">
        <w:rPr>
          <w:rStyle w:val="Emphasis"/>
          <w:i w:val="0"/>
        </w:rPr>
        <w:t xml:space="preserve">he/she </w:t>
      </w:r>
      <w:r w:rsidR="00EA575E" w:rsidRPr="00F935D4">
        <w:rPr>
          <w:rStyle w:val="Emphasis"/>
          <w:i w:val="0"/>
        </w:rPr>
        <w:t xml:space="preserve">may be provided with full removal of household goods if the assignment/appointment is to a duty station classified as H.  </w:t>
      </w:r>
      <w:r w:rsidR="00281CC0" w:rsidRPr="00F935D4">
        <w:rPr>
          <w:rStyle w:val="Emphasis"/>
          <w:i w:val="0"/>
        </w:rPr>
        <w:t xml:space="preserve">Under the relocation shipment, </w:t>
      </w:r>
      <w:r w:rsidR="00AB663D" w:rsidRPr="00F935D4">
        <w:rPr>
          <w:rStyle w:val="Emphasis"/>
          <w:i w:val="0"/>
        </w:rPr>
        <w:t>the</w:t>
      </w:r>
      <w:r w:rsidR="00EA575E" w:rsidRPr="00F935D4">
        <w:rPr>
          <w:rStyle w:val="Emphasis"/>
          <w:i w:val="0"/>
        </w:rPr>
        <w:t xml:space="preserve"> staff member </w:t>
      </w:r>
      <w:r w:rsidR="0033468C">
        <w:rPr>
          <w:rStyle w:val="Emphasis"/>
          <w:i w:val="0"/>
        </w:rPr>
        <w:t>is</w:t>
      </w:r>
      <w:r w:rsidR="00281CC0" w:rsidRPr="00F935D4">
        <w:rPr>
          <w:rStyle w:val="Emphasis"/>
          <w:i w:val="0"/>
        </w:rPr>
        <w:t xml:space="preserve"> entitled </w:t>
      </w:r>
      <w:r w:rsidR="00AB663D" w:rsidRPr="00F935D4">
        <w:rPr>
          <w:rStyle w:val="Emphasis"/>
          <w:i w:val="0"/>
        </w:rPr>
        <w:t>to shipment</w:t>
      </w:r>
      <w:r w:rsidR="00EA575E" w:rsidRPr="00F935D4">
        <w:rPr>
          <w:rStyle w:val="Emphasis"/>
          <w:i w:val="0"/>
        </w:rPr>
        <w:t xml:space="preserve"> up to a </w:t>
      </w:r>
      <w:r w:rsidR="00281CC0" w:rsidRPr="00F935D4">
        <w:rPr>
          <w:rStyle w:val="Emphasis"/>
          <w:i w:val="0"/>
        </w:rPr>
        <w:t>standard</w:t>
      </w:r>
      <w:r w:rsidR="00EA575E" w:rsidRPr="00F935D4">
        <w:rPr>
          <w:rStyle w:val="Emphasis"/>
          <w:i w:val="0"/>
        </w:rPr>
        <w:t xml:space="preserve"> 20 foot container for a single staff or </w:t>
      </w:r>
      <w:r w:rsidR="00281CC0" w:rsidRPr="00F935D4">
        <w:rPr>
          <w:rStyle w:val="Emphasis"/>
          <w:i w:val="0"/>
        </w:rPr>
        <w:t xml:space="preserve">standard </w:t>
      </w:r>
      <w:r w:rsidR="00EA575E" w:rsidRPr="00F935D4">
        <w:rPr>
          <w:rStyle w:val="Emphasis"/>
          <w:i w:val="0"/>
        </w:rPr>
        <w:t xml:space="preserve">40 foot container for </w:t>
      </w:r>
      <w:r w:rsidR="00583C1E" w:rsidRPr="00F935D4">
        <w:rPr>
          <w:rStyle w:val="Emphasis"/>
          <w:i w:val="0"/>
        </w:rPr>
        <w:t xml:space="preserve">a </w:t>
      </w:r>
      <w:r w:rsidR="00EA575E" w:rsidRPr="00F935D4">
        <w:rPr>
          <w:rStyle w:val="Emphasis"/>
          <w:i w:val="0"/>
        </w:rPr>
        <w:t xml:space="preserve">staff member with dependents.  In lieu of the </w:t>
      </w:r>
      <w:r w:rsidR="0033468C">
        <w:rPr>
          <w:rStyle w:val="Emphasis"/>
          <w:i w:val="0"/>
        </w:rPr>
        <w:t>relocation shipment</w:t>
      </w:r>
      <w:r w:rsidR="00EA575E" w:rsidRPr="00F935D4">
        <w:rPr>
          <w:rStyle w:val="Emphasis"/>
          <w:i w:val="0"/>
        </w:rPr>
        <w:t>, one of the following lump-sum options may be made available to the staff member:</w:t>
      </w:r>
    </w:p>
    <w:p w:rsidR="00EA575E" w:rsidRPr="00F935D4" w:rsidRDefault="00EA575E" w:rsidP="0060396A">
      <w:pPr>
        <w:pStyle w:val="ListParagraph"/>
        <w:rPr>
          <w:rStyle w:val="Emphasis"/>
          <w:i w:val="0"/>
        </w:rPr>
      </w:pPr>
    </w:p>
    <w:p w:rsidR="00EA575E" w:rsidRPr="00F935D4" w:rsidRDefault="00EA575E" w:rsidP="0092400F">
      <w:pPr>
        <w:pStyle w:val="ListParagraph"/>
        <w:numPr>
          <w:ilvl w:val="0"/>
          <w:numId w:val="24"/>
        </w:numPr>
        <w:tabs>
          <w:tab w:val="left" w:pos="1080"/>
        </w:tabs>
        <w:ind w:firstLine="0"/>
        <w:rPr>
          <w:rStyle w:val="Emphasis"/>
          <w:i w:val="0"/>
        </w:rPr>
      </w:pPr>
      <w:r w:rsidRPr="00F935D4">
        <w:rPr>
          <w:rStyle w:val="Emphasis"/>
          <w:i w:val="0"/>
        </w:rPr>
        <w:t>$10,000 single rate;</w:t>
      </w:r>
    </w:p>
    <w:p w:rsidR="00EA575E" w:rsidRPr="00F935D4" w:rsidRDefault="00EA575E" w:rsidP="0092400F">
      <w:pPr>
        <w:pStyle w:val="ListParagraph"/>
        <w:numPr>
          <w:ilvl w:val="0"/>
          <w:numId w:val="24"/>
        </w:numPr>
        <w:tabs>
          <w:tab w:val="left" w:pos="1080"/>
        </w:tabs>
        <w:ind w:firstLine="0"/>
        <w:rPr>
          <w:rStyle w:val="Emphasis"/>
          <w:i w:val="0"/>
        </w:rPr>
      </w:pPr>
      <w:r w:rsidRPr="00F935D4">
        <w:rPr>
          <w:rStyle w:val="Emphasis"/>
          <w:i w:val="0"/>
        </w:rPr>
        <w:t xml:space="preserve">$15,000 family rate.  </w:t>
      </w:r>
    </w:p>
    <w:p w:rsidR="00EA575E" w:rsidRPr="00F935D4" w:rsidRDefault="00EA575E" w:rsidP="00F935D4">
      <w:pPr>
        <w:rPr>
          <w:rStyle w:val="Emphasis"/>
          <w:i w:val="0"/>
        </w:rPr>
      </w:pPr>
      <w:r w:rsidRPr="00F935D4">
        <w:rPr>
          <w:rStyle w:val="Emphasis"/>
          <w:i w:val="0"/>
        </w:rPr>
        <w:t xml:space="preserve"> </w:t>
      </w:r>
    </w:p>
    <w:p w:rsidR="00EA575E" w:rsidRPr="00F935D4" w:rsidRDefault="00EA575E" w:rsidP="00A01CA9">
      <w:pPr>
        <w:pStyle w:val="ListParagraph"/>
        <w:numPr>
          <w:ilvl w:val="0"/>
          <w:numId w:val="19"/>
        </w:numPr>
        <w:tabs>
          <w:tab w:val="left" w:pos="720"/>
        </w:tabs>
        <w:ind w:firstLine="0"/>
        <w:rPr>
          <w:rStyle w:val="Emphasis"/>
          <w:i w:val="0"/>
        </w:rPr>
      </w:pPr>
      <w:r w:rsidRPr="00F935D4">
        <w:rPr>
          <w:rStyle w:val="Emphasis"/>
          <w:i w:val="0"/>
        </w:rPr>
        <w:t xml:space="preserve">Staff members in the professional and higher categories and field service category </w:t>
      </w:r>
      <w:r w:rsidR="00A8465A">
        <w:rPr>
          <w:rStyle w:val="Emphasis"/>
          <w:i w:val="0"/>
        </w:rPr>
        <w:t>and internationally recruited general service staff</w:t>
      </w:r>
      <w:r w:rsidR="00A8465A" w:rsidRPr="00F935D4">
        <w:rPr>
          <w:rStyle w:val="Emphasis"/>
          <w:i w:val="0"/>
        </w:rPr>
        <w:t xml:space="preserve"> </w:t>
      </w:r>
      <w:r w:rsidRPr="00F935D4">
        <w:rPr>
          <w:rStyle w:val="Emphasis"/>
          <w:i w:val="0"/>
        </w:rPr>
        <w:t xml:space="preserve">appointed/assigned/transferred/reassigned to a new duty station for a period of less than two years </w:t>
      </w:r>
      <w:r w:rsidR="00D94BF5" w:rsidRPr="00F935D4">
        <w:rPr>
          <w:rStyle w:val="Emphasis"/>
          <w:i w:val="0"/>
        </w:rPr>
        <w:t xml:space="preserve">or upon separation from such a duty station </w:t>
      </w:r>
      <w:r w:rsidRPr="00F935D4">
        <w:rPr>
          <w:rStyle w:val="Emphasis"/>
          <w:i w:val="0"/>
        </w:rPr>
        <w:t xml:space="preserve">and hold an appointment other than a temporary appointment and </w:t>
      </w:r>
      <w:r w:rsidR="00D94BF5" w:rsidRPr="00F935D4">
        <w:rPr>
          <w:rStyle w:val="Emphasis"/>
          <w:i w:val="0"/>
        </w:rPr>
        <w:t xml:space="preserve">who have been travelled at UN expense </w:t>
      </w:r>
      <w:r w:rsidRPr="00F935D4">
        <w:rPr>
          <w:rStyle w:val="Emphasis"/>
          <w:i w:val="0"/>
        </w:rPr>
        <w:t xml:space="preserve">to the new duty station may be entitled to </w:t>
      </w:r>
      <w:r w:rsidR="00281CC0" w:rsidRPr="00F935D4">
        <w:rPr>
          <w:rStyle w:val="Emphasis"/>
          <w:i w:val="0"/>
        </w:rPr>
        <w:t xml:space="preserve">unaccompanied </w:t>
      </w:r>
      <w:r w:rsidRPr="00F935D4">
        <w:rPr>
          <w:rStyle w:val="Emphasis"/>
          <w:i w:val="0"/>
        </w:rPr>
        <w:t>shipment of personal effects and household goods</w:t>
      </w:r>
      <w:r w:rsidR="00D94BF5" w:rsidRPr="00F935D4">
        <w:rPr>
          <w:rStyle w:val="Emphasis"/>
          <w:i w:val="0"/>
        </w:rPr>
        <w:t xml:space="preserve"> </w:t>
      </w:r>
      <w:r w:rsidRPr="00F935D4">
        <w:rPr>
          <w:rStyle w:val="Emphasis"/>
          <w:i w:val="0"/>
        </w:rPr>
        <w:t>as follows:</w:t>
      </w:r>
    </w:p>
    <w:p w:rsidR="00EA575E" w:rsidRPr="00F935D4" w:rsidRDefault="00EA575E" w:rsidP="00A01CA9">
      <w:pPr>
        <w:tabs>
          <w:tab w:val="left" w:pos="720"/>
        </w:tabs>
        <w:ind w:left="360"/>
        <w:rPr>
          <w:rStyle w:val="Emphasis"/>
          <w:i w:val="0"/>
        </w:rPr>
      </w:pPr>
    </w:p>
    <w:p w:rsidR="00EA575E" w:rsidRPr="00F935D4" w:rsidRDefault="00D94BF5" w:rsidP="0092400F">
      <w:pPr>
        <w:pStyle w:val="ListParagraph"/>
        <w:numPr>
          <w:ilvl w:val="0"/>
          <w:numId w:val="25"/>
        </w:numPr>
        <w:tabs>
          <w:tab w:val="left" w:pos="1080"/>
        </w:tabs>
        <w:ind w:firstLine="0"/>
        <w:rPr>
          <w:rStyle w:val="Emphasis"/>
          <w:i w:val="0"/>
        </w:rPr>
      </w:pPr>
      <w:r w:rsidRPr="00F935D4">
        <w:rPr>
          <w:rStyle w:val="Emphasis"/>
          <w:i w:val="0"/>
        </w:rPr>
        <w:t xml:space="preserve">Up to </w:t>
      </w:r>
      <w:r w:rsidR="00EA575E" w:rsidRPr="00F935D4">
        <w:rPr>
          <w:rStyle w:val="Emphasis"/>
          <w:i w:val="0"/>
        </w:rPr>
        <w:t>1,000 kgs for the staff member;</w:t>
      </w:r>
    </w:p>
    <w:p w:rsidR="00EA575E" w:rsidRPr="00F935D4" w:rsidRDefault="00D94BF5" w:rsidP="0092400F">
      <w:pPr>
        <w:pStyle w:val="ListParagraph"/>
        <w:numPr>
          <w:ilvl w:val="0"/>
          <w:numId w:val="25"/>
        </w:numPr>
        <w:tabs>
          <w:tab w:val="left" w:pos="1080"/>
        </w:tabs>
        <w:ind w:firstLine="0"/>
        <w:rPr>
          <w:rStyle w:val="Emphasis"/>
          <w:i w:val="0"/>
        </w:rPr>
      </w:pPr>
      <w:r w:rsidRPr="00F935D4">
        <w:rPr>
          <w:rStyle w:val="Emphasis"/>
          <w:i w:val="0"/>
        </w:rPr>
        <w:t xml:space="preserve">Up to </w:t>
      </w:r>
      <w:r w:rsidR="00EA575E" w:rsidRPr="00F935D4">
        <w:rPr>
          <w:rStyle w:val="Emphasis"/>
          <w:i w:val="0"/>
        </w:rPr>
        <w:t>500 kgs for the first eligible family member;</w:t>
      </w:r>
    </w:p>
    <w:p w:rsidR="00EA575E" w:rsidRPr="00F935D4" w:rsidRDefault="00D94BF5" w:rsidP="0092400F">
      <w:pPr>
        <w:pStyle w:val="ListParagraph"/>
        <w:numPr>
          <w:ilvl w:val="0"/>
          <w:numId w:val="25"/>
        </w:numPr>
        <w:tabs>
          <w:tab w:val="left" w:pos="1080"/>
        </w:tabs>
        <w:ind w:firstLine="0"/>
        <w:rPr>
          <w:rStyle w:val="Emphasis"/>
          <w:i w:val="0"/>
        </w:rPr>
      </w:pPr>
      <w:r w:rsidRPr="00F935D4">
        <w:rPr>
          <w:rStyle w:val="Emphasis"/>
          <w:i w:val="0"/>
        </w:rPr>
        <w:t xml:space="preserve">Up to </w:t>
      </w:r>
      <w:r w:rsidR="00EA575E" w:rsidRPr="00F935D4">
        <w:rPr>
          <w:rStyle w:val="Emphasis"/>
          <w:i w:val="0"/>
        </w:rPr>
        <w:t>300 kgs for each eligible family member.</w:t>
      </w:r>
    </w:p>
    <w:p w:rsidR="00EA575E" w:rsidRPr="00F935D4" w:rsidRDefault="00EA575E" w:rsidP="00F935D4">
      <w:pPr>
        <w:rPr>
          <w:rStyle w:val="Emphasis"/>
          <w:i w:val="0"/>
        </w:rPr>
      </w:pPr>
    </w:p>
    <w:p w:rsidR="00EA575E" w:rsidRPr="00F935D4" w:rsidRDefault="00EA575E" w:rsidP="00A01CA9">
      <w:pPr>
        <w:pStyle w:val="ListParagraph"/>
        <w:numPr>
          <w:ilvl w:val="0"/>
          <w:numId w:val="19"/>
        </w:numPr>
        <w:tabs>
          <w:tab w:val="left" w:pos="720"/>
        </w:tabs>
        <w:ind w:firstLine="0"/>
        <w:rPr>
          <w:rStyle w:val="Emphasis"/>
          <w:i w:val="0"/>
        </w:rPr>
      </w:pPr>
      <w:r w:rsidRPr="00F935D4">
        <w:rPr>
          <w:rStyle w:val="Emphasis"/>
          <w:i w:val="0"/>
        </w:rPr>
        <w:t xml:space="preserve">In the lieu of the </w:t>
      </w:r>
      <w:r w:rsidR="00406EE3" w:rsidRPr="00F935D4">
        <w:rPr>
          <w:rStyle w:val="Emphasis"/>
          <w:i w:val="0"/>
        </w:rPr>
        <w:t xml:space="preserve">unaccompanied </w:t>
      </w:r>
      <w:r w:rsidR="00281CC0" w:rsidRPr="00F935D4">
        <w:rPr>
          <w:rStyle w:val="Emphasis"/>
          <w:i w:val="0"/>
        </w:rPr>
        <w:t xml:space="preserve">shipment </w:t>
      </w:r>
      <w:r w:rsidRPr="00F935D4">
        <w:rPr>
          <w:rStyle w:val="Emphasis"/>
          <w:i w:val="0"/>
        </w:rPr>
        <w:t xml:space="preserve"> of</w:t>
      </w:r>
      <w:r w:rsidR="00406EE3" w:rsidRPr="00F935D4">
        <w:rPr>
          <w:rStyle w:val="Emphasis"/>
          <w:i w:val="0"/>
        </w:rPr>
        <w:t xml:space="preserve"> personal effects and</w:t>
      </w:r>
      <w:r w:rsidRPr="00F935D4">
        <w:rPr>
          <w:rStyle w:val="Emphasis"/>
          <w:i w:val="0"/>
        </w:rPr>
        <w:t xml:space="preserve"> household goods, the staff member may opt for a lump-sum as per below:</w:t>
      </w:r>
    </w:p>
    <w:p w:rsidR="00EA575E" w:rsidRPr="00F935D4" w:rsidRDefault="00EA575E" w:rsidP="00F935D4">
      <w:pPr>
        <w:rPr>
          <w:rStyle w:val="Emphasis"/>
          <w:i w:val="0"/>
        </w:rPr>
      </w:pPr>
    </w:p>
    <w:p w:rsidR="00EA575E" w:rsidRPr="00F935D4" w:rsidRDefault="00EA575E" w:rsidP="0092400F">
      <w:pPr>
        <w:pStyle w:val="ListParagraph"/>
        <w:numPr>
          <w:ilvl w:val="1"/>
          <w:numId w:val="19"/>
        </w:numPr>
        <w:tabs>
          <w:tab w:val="left" w:pos="1080"/>
        </w:tabs>
        <w:ind w:left="720" w:firstLine="0"/>
        <w:rPr>
          <w:rStyle w:val="Emphasis"/>
          <w:i w:val="0"/>
        </w:rPr>
      </w:pPr>
      <w:r w:rsidRPr="00F935D4">
        <w:rPr>
          <w:rStyle w:val="Emphasis"/>
          <w:i w:val="0"/>
        </w:rPr>
        <w:t>$10,000 single rate;</w:t>
      </w:r>
    </w:p>
    <w:p w:rsidR="00EA575E" w:rsidRPr="00F935D4" w:rsidRDefault="00EA575E" w:rsidP="0092400F">
      <w:pPr>
        <w:pStyle w:val="ListParagraph"/>
        <w:numPr>
          <w:ilvl w:val="1"/>
          <w:numId w:val="19"/>
        </w:numPr>
        <w:tabs>
          <w:tab w:val="left" w:pos="1080"/>
        </w:tabs>
        <w:ind w:left="720" w:firstLine="0"/>
        <w:rPr>
          <w:rStyle w:val="Emphasis"/>
          <w:i w:val="0"/>
        </w:rPr>
      </w:pPr>
      <w:r w:rsidRPr="00F935D4">
        <w:rPr>
          <w:rStyle w:val="Emphasis"/>
          <w:i w:val="0"/>
        </w:rPr>
        <w:t>$15,000 family rate.</w:t>
      </w:r>
    </w:p>
    <w:p w:rsidR="00EA575E" w:rsidRPr="00F935D4" w:rsidRDefault="00EA575E" w:rsidP="00F935D4">
      <w:pPr>
        <w:rPr>
          <w:rStyle w:val="Emphasis"/>
          <w:i w:val="0"/>
        </w:rPr>
      </w:pPr>
    </w:p>
    <w:p w:rsidR="006022BE" w:rsidRPr="00F935D4" w:rsidRDefault="00F27165" w:rsidP="00A01CA9">
      <w:pPr>
        <w:pStyle w:val="ListParagraph"/>
        <w:numPr>
          <w:ilvl w:val="0"/>
          <w:numId w:val="19"/>
        </w:numPr>
        <w:tabs>
          <w:tab w:val="left" w:pos="720"/>
        </w:tabs>
        <w:ind w:firstLine="0"/>
        <w:rPr>
          <w:rStyle w:val="Emphasis"/>
          <w:i w:val="0"/>
        </w:rPr>
      </w:pPr>
      <w:r w:rsidRPr="00F935D4">
        <w:rPr>
          <w:rStyle w:val="Emphasis"/>
          <w:i w:val="0"/>
        </w:rPr>
        <w:t xml:space="preserve">Staff members in the professional and higher categories and field service </w:t>
      </w:r>
      <w:r w:rsidR="00A8465A">
        <w:rPr>
          <w:rStyle w:val="Emphasis"/>
          <w:i w:val="0"/>
        </w:rPr>
        <w:t xml:space="preserve">and </w:t>
      </w:r>
      <w:r w:rsidRPr="00F935D4">
        <w:rPr>
          <w:rStyle w:val="Emphasis"/>
          <w:i w:val="0"/>
        </w:rPr>
        <w:t xml:space="preserve">category </w:t>
      </w:r>
      <w:r w:rsidR="00A8465A">
        <w:rPr>
          <w:rStyle w:val="Emphasis"/>
          <w:i w:val="0"/>
        </w:rPr>
        <w:t>and internationally recruited general service staff</w:t>
      </w:r>
      <w:r w:rsidR="00A8465A" w:rsidRPr="00F935D4">
        <w:rPr>
          <w:rStyle w:val="Emphasis"/>
          <w:i w:val="0"/>
        </w:rPr>
        <w:t xml:space="preserve"> </w:t>
      </w:r>
      <w:r w:rsidRPr="00F935D4">
        <w:rPr>
          <w:rStyle w:val="Emphasis"/>
          <w:i w:val="0"/>
        </w:rPr>
        <w:t xml:space="preserve">appointed/assigned/transferred/reassigned to a new duty station for a period of less than one year and hold an appointment, including a temporary appointment </w:t>
      </w:r>
      <w:r w:rsidR="00A178CA" w:rsidRPr="00F935D4">
        <w:rPr>
          <w:rStyle w:val="Emphasis"/>
          <w:i w:val="0"/>
        </w:rPr>
        <w:t xml:space="preserve">travelled to a new duty station at UN expense </w:t>
      </w:r>
      <w:r w:rsidRPr="00F935D4">
        <w:rPr>
          <w:rStyle w:val="Emphasis"/>
          <w:i w:val="0"/>
        </w:rPr>
        <w:t xml:space="preserve">may be entitled to </w:t>
      </w:r>
      <w:r w:rsidR="00281CC0" w:rsidRPr="00F935D4">
        <w:rPr>
          <w:rStyle w:val="Emphasis"/>
          <w:i w:val="0"/>
        </w:rPr>
        <w:t>unaccompanied</w:t>
      </w:r>
      <w:r w:rsidRPr="00F935D4">
        <w:rPr>
          <w:rStyle w:val="Emphasis"/>
          <w:i w:val="0"/>
        </w:rPr>
        <w:t xml:space="preserve"> shipment of personal effects and household goods to or from the duty station.  The staff member will be entitled to </w:t>
      </w:r>
      <w:r w:rsidR="00D94BF5" w:rsidRPr="00F935D4">
        <w:rPr>
          <w:rStyle w:val="Emphasis"/>
          <w:i w:val="0"/>
        </w:rPr>
        <w:t xml:space="preserve">a maximum of </w:t>
      </w:r>
      <w:r w:rsidRPr="00F935D4">
        <w:rPr>
          <w:rStyle w:val="Emphasis"/>
          <w:i w:val="0"/>
        </w:rPr>
        <w:t>100 kgs for which he or she may opt for a lump-sum of $1,200.</w:t>
      </w:r>
      <w:r w:rsidR="000177B5" w:rsidRPr="00F935D4">
        <w:rPr>
          <w:rStyle w:val="Emphasis"/>
          <w:i w:val="0"/>
        </w:rPr>
        <w:t xml:space="preserve">  </w:t>
      </w:r>
    </w:p>
    <w:p w:rsidR="006022BE" w:rsidRPr="00F935D4" w:rsidRDefault="006022BE" w:rsidP="00F935D4">
      <w:pPr>
        <w:rPr>
          <w:rStyle w:val="Emphasis"/>
          <w:i w:val="0"/>
        </w:rPr>
      </w:pPr>
    </w:p>
    <w:p w:rsidR="00530540" w:rsidRPr="00F935D4" w:rsidRDefault="00530540" w:rsidP="00A01CA9">
      <w:pPr>
        <w:pStyle w:val="ListParagraph"/>
        <w:numPr>
          <w:ilvl w:val="0"/>
          <w:numId w:val="19"/>
        </w:numPr>
        <w:tabs>
          <w:tab w:val="left" w:pos="720"/>
        </w:tabs>
        <w:ind w:firstLine="0"/>
        <w:rPr>
          <w:rStyle w:val="Emphasis"/>
          <w:i w:val="0"/>
        </w:rPr>
      </w:pPr>
      <w:r w:rsidRPr="00F935D4">
        <w:rPr>
          <w:rStyle w:val="Emphasis"/>
          <w:i w:val="0"/>
        </w:rPr>
        <w:t xml:space="preserve">Where in connection with an assignment of less than one year to a family duty station, </w:t>
      </w:r>
      <w:r w:rsidR="006022BE" w:rsidRPr="00F935D4">
        <w:rPr>
          <w:rStyle w:val="Emphasis"/>
          <w:i w:val="0"/>
        </w:rPr>
        <w:t xml:space="preserve">eligible </w:t>
      </w:r>
      <w:r w:rsidRPr="00F935D4">
        <w:rPr>
          <w:rStyle w:val="Emphasis"/>
          <w:i w:val="0"/>
        </w:rPr>
        <w:t xml:space="preserve">family </w:t>
      </w:r>
      <w:r w:rsidR="006022BE" w:rsidRPr="00F935D4">
        <w:rPr>
          <w:rStyle w:val="Emphasis"/>
          <w:i w:val="0"/>
        </w:rPr>
        <w:t xml:space="preserve">members </w:t>
      </w:r>
      <w:r w:rsidRPr="00F935D4">
        <w:rPr>
          <w:rStyle w:val="Emphasis"/>
          <w:i w:val="0"/>
        </w:rPr>
        <w:t xml:space="preserve">of a staff member holding an appointment other than a temporary appointment </w:t>
      </w:r>
      <w:r w:rsidR="006022BE" w:rsidRPr="00F935D4">
        <w:rPr>
          <w:rStyle w:val="Emphasis"/>
          <w:i w:val="0"/>
        </w:rPr>
        <w:t>have been travelled in line with SR 7.2 (d)</w:t>
      </w:r>
      <w:r w:rsidR="00583C1E" w:rsidRPr="00F935D4">
        <w:rPr>
          <w:rStyle w:val="Emphasis"/>
          <w:i w:val="0"/>
        </w:rPr>
        <w:t xml:space="preserve"> </w:t>
      </w:r>
      <w:r w:rsidR="006022BE" w:rsidRPr="00F935D4">
        <w:rPr>
          <w:rStyle w:val="Emphasis"/>
          <w:i w:val="0"/>
        </w:rPr>
        <w:t>(iii) on change of official duty station</w:t>
      </w:r>
      <w:r w:rsidRPr="00F935D4">
        <w:rPr>
          <w:rStyle w:val="Emphasis"/>
          <w:i w:val="0"/>
        </w:rPr>
        <w:t xml:space="preserve">, </w:t>
      </w:r>
      <w:r w:rsidR="006022BE" w:rsidRPr="00F935D4">
        <w:rPr>
          <w:rStyle w:val="Emphasis"/>
          <w:i w:val="0"/>
        </w:rPr>
        <w:t xml:space="preserve"> </w:t>
      </w:r>
      <w:r w:rsidR="00260C9E" w:rsidRPr="00F935D4">
        <w:rPr>
          <w:rStyle w:val="Emphasis"/>
          <w:i w:val="0"/>
        </w:rPr>
        <w:t xml:space="preserve">the staff member in respect of </w:t>
      </w:r>
      <w:r w:rsidRPr="00F935D4">
        <w:rPr>
          <w:rStyle w:val="Emphasis"/>
          <w:i w:val="0"/>
        </w:rPr>
        <w:t xml:space="preserve">eligible family members travelled at UN expense </w:t>
      </w:r>
      <w:r w:rsidR="003A48B0" w:rsidRPr="00F935D4">
        <w:rPr>
          <w:rStyle w:val="Emphasis"/>
          <w:i w:val="0"/>
        </w:rPr>
        <w:t>to the new duty station</w:t>
      </w:r>
      <w:r w:rsidR="00260C9E" w:rsidRPr="00F935D4">
        <w:rPr>
          <w:rStyle w:val="Emphasis"/>
          <w:i w:val="0"/>
        </w:rPr>
        <w:t>,</w:t>
      </w:r>
      <w:r w:rsidR="003A48B0" w:rsidRPr="00F935D4">
        <w:rPr>
          <w:rStyle w:val="Emphasis"/>
          <w:i w:val="0"/>
        </w:rPr>
        <w:t xml:space="preserve"> </w:t>
      </w:r>
      <w:r w:rsidRPr="00F935D4">
        <w:rPr>
          <w:rStyle w:val="Emphasis"/>
          <w:i w:val="0"/>
        </w:rPr>
        <w:t xml:space="preserve">may be entitled to unaccompanied shipment of personal effects and household goods of </w:t>
      </w:r>
      <w:r w:rsidR="00D94BF5" w:rsidRPr="00F935D4">
        <w:rPr>
          <w:rStyle w:val="Emphasis"/>
          <w:i w:val="0"/>
        </w:rPr>
        <w:t xml:space="preserve">a maximum of </w:t>
      </w:r>
      <w:r w:rsidRPr="00F935D4">
        <w:rPr>
          <w:rStyle w:val="Emphasis"/>
          <w:i w:val="0"/>
        </w:rPr>
        <w:t>100 kgs per eligible family member</w:t>
      </w:r>
      <w:r w:rsidR="00D94BF5" w:rsidRPr="00F935D4">
        <w:rPr>
          <w:rStyle w:val="Emphasis"/>
          <w:i w:val="0"/>
        </w:rPr>
        <w:t>,</w:t>
      </w:r>
      <w:r w:rsidRPr="00F935D4">
        <w:rPr>
          <w:rStyle w:val="Emphasis"/>
          <w:i w:val="0"/>
        </w:rPr>
        <w:t xml:space="preserve"> provided the staff members services at the new duty station are expected to continue for a further period of six months beyond the proposed date of arrival of the personal effects and household goods.  </w:t>
      </w:r>
      <w:r w:rsidR="00D94BF5" w:rsidRPr="00F935D4">
        <w:rPr>
          <w:rStyle w:val="Emphasis"/>
          <w:i w:val="0"/>
        </w:rPr>
        <w:t>In lieu of the shipping entitlement the staff member may opt for a lump-sum of $1,200 per eligible family member.</w:t>
      </w:r>
      <w:r w:rsidR="00583C1E" w:rsidRPr="00F935D4">
        <w:rPr>
          <w:rStyle w:val="Emphasis"/>
          <w:i w:val="0"/>
        </w:rPr>
        <w:t xml:space="preserve">  No relocation shipment shall be available for eligible family members of staff members holding temporary appointments irrespective of the duration of the temporary appointment.  </w:t>
      </w:r>
    </w:p>
    <w:p w:rsidR="00583C1E" w:rsidRPr="00F935D4" w:rsidRDefault="00583C1E" w:rsidP="00A01CA9">
      <w:pPr>
        <w:tabs>
          <w:tab w:val="left" w:pos="720"/>
        </w:tabs>
        <w:ind w:left="360"/>
        <w:rPr>
          <w:rStyle w:val="Emphasis"/>
          <w:i w:val="0"/>
        </w:rPr>
      </w:pPr>
    </w:p>
    <w:p w:rsidR="00583C1E" w:rsidRPr="00F935D4" w:rsidRDefault="00583C1E" w:rsidP="00A01CA9">
      <w:pPr>
        <w:pStyle w:val="ListParagraph"/>
        <w:numPr>
          <w:ilvl w:val="0"/>
          <w:numId w:val="19"/>
        </w:numPr>
        <w:tabs>
          <w:tab w:val="left" w:pos="720"/>
        </w:tabs>
        <w:ind w:firstLine="0"/>
        <w:rPr>
          <w:rStyle w:val="Emphasis"/>
          <w:i w:val="0"/>
        </w:rPr>
      </w:pPr>
      <w:r w:rsidRPr="00F935D4">
        <w:rPr>
          <w:rStyle w:val="Emphasis"/>
          <w:i w:val="0"/>
        </w:rPr>
        <w:t>The lump-sum shall be administered in line with the provisions on relocation grant reflected in ST/AI/2015/1</w:t>
      </w:r>
      <w:r w:rsidR="00967FA3" w:rsidRPr="00F935D4">
        <w:rPr>
          <w:rStyle w:val="Emphasis"/>
          <w:i w:val="0"/>
        </w:rPr>
        <w:t xml:space="preserve"> </w:t>
      </w:r>
      <w:r w:rsidR="00DC5761" w:rsidRPr="00DC5761">
        <w:rPr>
          <w:rStyle w:val="Emphasis"/>
          <w:i w:val="0"/>
          <w:color w:val="3333FF"/>
        </w:rPr>
        <w:t xml:space="preserve">[replaced by </w:t>
      </w:r>
      <w:hyperlink r:id="rId16" w:history="1">
        <w:r w:rsidR="00DC5761" w:rsidRPr="00DC5761">
          <w:rPr>
            <w:rStyle w:val="Hyperlink"/>
          </w:rPr>
          <w:t>ST/AI</w:t>
        </w:r>
        <w:r w:rsidR="00DC5761" w:rsidRPr="00DC5761">
          <w:rPr>
            <w:rStyle w:val="Hyperlink"/>
          </w:rPr>
          <w:t>/</w:t>
        </w:r>
        <w:r w:rsidR="00DC5761" w:rsidRPr="00DC5761">
          <w:rPr>
            <w:rStyle w:val="Hyperlink"/>
          </w:rPr>
          <w:t>2016/4</w:t>
        </w:r>
      </w:hyperlink>
      <w:r w:rsidR="00DC5761" w:rsidRPr="00DC5761">
        <w:rPr>
          <w:rStyle w:val="Emphasis"/>
          <w:i w:val="0"/>
          <w:color w:val="3333FF"/>
        </w:rPr>
        <w:t>]</w:t>
      </w:r>
      <w:r w:rsidR="00DC5761">
        <w:rPr>
          <w:rStyle w:val="Emphasis"/>
          <w:i w:val="0"/>
        </w:rPr>
        <w:t xml:space="preserve"> </w:t>
      </w:r>
      <w:r w:rsidR="00967FA3" w:rsidRPr="00F935D4">
        <w:rPr>
          <w:rStyle w:val="Emphasis"/>
          <w:i w:val="0"/>
        </w:rPr>
        <w:t xml:space="preserve">or as </w:t>
      </w:r>
      <w:r w:rsidR="005C4A7D" w:rsidRPr="00F935D4">
        <w:rPr>
          <w:rStyle w:val="Emphasis"/>
          <w:i w:val="0"/>
        </w:rPr>
        <w:t xml:space="preserve">may </w:t>
      </w:r>
      <w:r w:rsidR="00260C9E" w:rsidRPr="00F935D4">
        <w:rPr>
          <w:rStyle w:val="Emphasis"/>
          <w:i w:val="0"/>
        </w:rPr>
        <w:t xml:space="preserve">be </w:t>
      </w:r>
      <w:r w:rsidR="00967FA3" w:rsidRPr="00F935D4">
        <w:rPr>
          <w:rStyle w:val="Emphasis"/>
          <w:i w:val="0"/>
        </w:rPr>
        <w:t>amended</w:t>
      </w:r>
      <w:r w:rsidRPr="00F935D4">
        <w:rPr>
          <w:rStyle w:val="Emphasis"/>
          <w:i w:val="0"/>
        </w:rPr>
        <w:t xml:space="preserve">.  The lump-sum shall not be available for movements within the country and within-mission transfers involving a change of duty station even when it involves relocation to a different country, including for assignments of less than one year.  In line with SR 7.2 </w:t>
      </w:r>
      <w:r w:rsidR="00C20168" w:rsidRPr="00F935D4">
        <w:rPr>
          <w:rStyle w:val="Emphasis"/>
          <w:i w:val="0"/>
        </w:rPr>
        <w:t>(c)</w:t>
      </w:r>
      <w:r w:rsidRPr="00F935D4">
        <w:rPr>
          <w:rStyle w:val="Emphasis"/>
          <w:i w:val="0"/>
        </w:rPr>
        <w:t xml:space="preserve">, the Organisation shall not pay for the travel of eligible family members to duty stations designated as non-family.  As a consequence, the Organisation shall not provide a shipment entitlement to eligible family members for travel to a non-family duty station. </w:t>
      </w:r>
      <w:r w:rsidR="009611B9" w:rsidRPr="00F935D4">
        <w:rPr>
          <w:rStyle w:val="Emphasis"/>
          <w:i w:val="0"/>
        </w:rPr>
        <w:t xml:space="preserve"> </w:t>
      </w:r>
      <w:r w:rsidRPr="00F935D4">
        <w:rPr>
          <w:rStyle w:val="Emphasis"/>
          <w:i w:val="0"/>
        </w:rPr>
        <w:t>In the case of transfer/reassignment/assignment of a staff member from a non-family to a family duty station and vice-versa, the shipment entitlement shall be administered in line with the provisions of ST/AI/2015/1</w:t>
      </w:r>
      <w:r w:rsidR="00F0408E" w:rsidRPr="00F935D4">
        <w:rPr>
          <w:rStyle w:val="Emphasis"/>
          <w:i w:val="0"/>
        </w:rPr>
        <w:t xml:space="preserve"> </w:t>
      </w:r>
      <w:r w:rsidR="00DC5761" w:rsidRPr="00DC5761">
        <w:rPr>
          <w:rStyle w:val="Emphasis"/>
          <w:i w:val="0"/>
          <w:color w:val="0000FF"/>
        </w:rPr>
        <w:t xml:space="preserve">[replaced by </w:t>
      </w:r>
      <w:hyperlink r:id="rId17" w:history="1">
        <w:r w:rsidR="00DC5761" w:rsidRPr="00DC5761">
          <w:rPr>
            <w:rStyle w:val="Hyperlink"/>
          </w:rPr>
          <w:t>ST/AI/2016/4</w:t>
        </w:r>
      </w:hyperlink>
      <w:r w:rsidR="00DC5761" w:rsidRPr="00DC5761">
        <w:rPr>
          <w:rStyle w:val="Emphasis"/>
          <w:i w:val="0"/>
          <w:color w:val="0000FF"/>
        </w:rPr>
        <w:t>]</w:t>
      </w:r>
      <w:r w:rsidR="00DC5761">
        <w:rPr>
          <w:rStyle w:val="Emphasis"/>
          <w:i w:val="0"/>
        </w:rPr>
        <w:t xml:space="preserve"> </w:t>
      </w:r>
      <w:r w:rsidR="00F0408E" w:rsidRPr="00F935D4">
        <w:rPr>
          <w:rStyle w:val="Emphasis"/>
          <w:i w:val="0"/>
        </w:rPr>
        <w:t xml:space="preserve">or as </w:t>
      </w:r>
      <w:r w:rsidR="005C4A7D" w:rsidRPr="00F935D4">
        <w:rPr>
          <w:rStyle w:val="Emphasis"/>
          <w:i w:val="0"/>
        </w:rPr>
        <w:t xml:space="preserve">may be </w:t>
      </w:r>
      <w:r w:rsidR="00F0408E" w:rsidRPr="00F935D4">
        <w:rPr>
          <w:rStyle w:val="Emphasis"/>
          <w:i w:val="0"/>
        </w:rPr>
        <w:t>amended</w:t>
      </w:r>
      <w:r w:rsidRPr="00F935D4">
        <w:rPr>
          <w:rStyle w:val="Emphasis"/>
          <w:i w:val="0"/>
        </w:rPr>
        <w:t>.</w:t>
      </w:r>
    </w:p>
    <w:p w:rsidR="00530540" w:rsidRPr="00F935D4" w:rsidRDefault="00530540" w:rsidP="00A01CA9">
      <w:pPr>
        <w:tabs>
          <w:tab w:val="left" w:pos="720"/>
        </w:tabs>
        <w:ind w:left="360"/>
        <w:rPr>
          <w:rStyle w:val="Emphasis"/>
          <w:i w:val="0"/>
        </w:rPr>
      </w:pPr>
    </w:p>
    <w:p w:rsidR="00530540" w:rsidRPr="00F935D4" w:rsidRDefault="00A178CA" w:rsidP="00A01CA9">
      <w:pPr>
        <w:pStyle w:val="ListParagraph"/>
        <w:numPr>
          <w:ilvl w:val="0"/>
          <w:numId w:val="19"/>
        </w:numPr>
        <w:tabs>
          <w:tab w:val="left" w:pos="720"/>
        </w:tabs>
        <w:ind w:firstLine="0"/>
        <w:rPr>
          <w:rStyle w:val="Emphasis"/>
          <w:i w:val="0"/>
        </w:rPr>
      </w:pPr>
      <w:r w:rsidRPr="00F935D4">
        <w:rPr>
          <w:rStyle w:val="Emphasis"/>
          <w:i w:val="0"/>
        </w:rPr>
        <w:t xml:space="preserve">The above </w:t>
      </w:r>
      <w:r w:rsidR="00D94BF5" w:rsidRPr="00F935D4">
        <w:rPr>
          <w:rStyle w:val="Emphasis"/>
          <w:i w:val="0"/>
        </w:rPr>
        <w:t xml:space="preserve">provisions </w:t>
      </w:r>
      <w:r w:rsidRPr="00F935D4">
        <w:rPr>
          <w:rStyle w:val="Emphasis"/>
          <w:i w:val="0"/>
        </w:rPr>
        <w:t>relating to relocation shipment</w:t>
      </w:r>
      <w:r w:rsidR="00C05564" w:rsidRPr="00F935D4">
        <w:rPr>
          <w:rStyle w:val="Emphasis"/>
          <w:i w:val="0"/>
        </w:rPr>
        <w:t xml:space="preserve">, including the lump-sum amounts </w:t>
      </w:r>
      <w:r w:rsidRPr="00F935D4">
        <w:rPr>
          <w:rStyle w:val="Emphasis"/>
          <w:i w:val="0"/>
        </w:rPr>
        <w:t>shall be in force until further notice or superseded by a revision to the administrative issuance on excess baggage, shipments and insuranc</w:t>
      </w:r>
      <w:r w:rsidR="00D94BF5" w:rsidRPr="00F935D4">
        <w:rPr>
          <w:rStyle w:val="Emphasis"/>
          <w:i w:val="0"/>
        </w:rPr>
        <w:t>e or other duly promulgated issuance.</w:t>
      </w:r>
      <w:r w:rsidRPr="00F935D4">
        <w:rPr>
          <w:rStyle w:val="Emphasis"/>
          <w:i w:val="0"/>
        </w:rPr>
        <w:t xml:space="preserve"> </w:t>
      </w:r>
    </w:p>
    <w:p w:rsidR="00530540" w:rsidRPr="00F935D4" w:rsidRDefault="00530540" w:rsidP="00F935D4">
      <w:pPr>
        <w:rPr>
          <w:rStyle w:val="Emphasis"/>
          <w:i w:val="0"/>
        </w:rPr>
      </w:pPr>
    </w:p>
    <w:p w:rsidR="00F27165" w:rsidRPr="00F935D4" w:rsidRDefault="00F27165" w:rsidP="00F935D4">
      <w:pPr>
        <w:rPr>
          <w:rStyle w:val="Emphasis"/>
          <w:i w:val="0"/>
        </w:rPr>
      </w:pPr>
    </w:p>
    <w:p w:rsidR="00DB409C" w:rsidRPr="00F935D4" w:rsidRDefault="00DB409C" w:rsidP="00F935D4">
      <w:pPr>
        <w:rPr>
          <w:rStyle w:val="Emphasis"/>
          <w:i w:val="0"/>
        </w:rPr>
      </w:pPr>
    </w:p>
    <w:p w:rsidR="00DB15F6" w:rsidRDefault="00A8465A" w:rsidP="00A8465A">
      <w:pPr>
        <w:tabs>
          <w:tab w:val="left" w:pos="1741"/>
        </w:tabs>
        <w:rPr>
          <w:rStyle w:val="Emphasis"/>
          <w:i w:val="0"/>
        </w:rPr>
      </w:pPr>
      <w:r>
        <w:rPr>
          <w:rStyle w:val="Emphasis"/>
          <w:i w:val="0"/>
        </w:rPr>
        <w:tab/>
      </w:r>
      <w:r w:rsidR="00DB409C" w:rsidRPr="00F935D4">
        <w:rPr>
          <w:rStyle w:val="Emphasis"/>
          <w:i w:val="0"/>
        </w:rPr>
        <w:t xml:space="preserve"> </w:t>
      </w:r>
    </w:p>
    <w:p w:rsidR="0059097D" w:rsidRDefault="0059097D" w:rsidP="00A8465A">
      <w:pPr>
        <w:tabs>
          <w:tab w:val="left" w:pos="1741"/>
        </w:tabs>
        <w:rPr>
          <w:rStyle w:val="Emphasis"/>
          <w:i w:val="0"/>
        </w:rPr>
      </w:pPr>
      <w:bookmarkStart w:id="0" w:name="_GoBack"/>
      <w:bookmarkEnd w:id="0"/>
    </w:p>
    <w:p w:rsidR="0059097D" w:rsidRDefault="0059097D" w:rsidP="00A8465A">
      <w:pPr>
        <w:tabs>
          <w:tab w:val="left" w:pos="1741"/>
        </w:tabs>
        <w:rPr>
          <w:rStyle w:val="Emphasis"/>
          <w:i w:val="0"/>
        </w:rPr>
      </w:pPr>
    </w:p>
    <w:p w:rsidR="0059097D" w:rsidRDefault="0059097D" w:rsidP="00F87D71">
      <w:pPr>
        <w:tabs>
          <w:tab w:val="left" w:pos="1741"/>
        </w:tabs>
        <w:jc w:val="right"/>
        <w:rPr>
          <w:rStyle w:val="Emphasis"/>
          <w:i w:val="0"/>
        </w:rPr>
      </w:pPr>
    </w:p>
    <w:p w:rsidR="0059097D" w:rsidRDefault="00E2423E" w:rsidP="00F87D71">
      <w:pPr>
        <w:tabs>
          <w:tab w:val="left" w:pos="1741"/>
        </w:tabs>
        <w:jc w:val="right"/>
        <w:rPr>
          <w:rStyle w:val="Emphasis"/>
          <w:i w:val="0"/>
        </w:rPr>
      </w:pPr>
      <w:r>
        <w:rPr>
          <w:rStyle w:val="Emphasis"/>
          <w:i w:val="0"/>
        </w:rPr>
        <w:tab/>
      </w:r>
      <w:r>
        <w:rPr>
          <w:rStyle w:val="Emphasis"/>
          <w:i w:val="0"/>
        </w:rPr>
        <w:tab/>
      </w:r>
      <w:r>
        <w:rPr>
          <w:rStyle w:val="Emphasis"/>
          <w:i w:val="0"/>
        </w:rPr>
        <w:tab/>
      </w:r>
      <w:r>
        <w:rPr>
          <w:rStyle w:val="Emphasis"/>
          <w:i w:val="0"/>
        </w:rPr>
        <w:tab/>
      </w:r>
      <w:r>
        <w:rPr>
          <w:rStyle w:val="Emphasis"/>
          <w:i w:val="0"/>
        </w:rPr>
        <w:tab/>
        <w:t>Approved by</w:t>
      </w:r>
      <w:r w:rsidR="00F87D71">
        <w:rPr>
          <w:rStyle w:val="Emphasis"/>
          <w:i w:val="0"/>
        </w:rPr>
        <w:t>:  ASG, OHRM</w:t>
      </w:r>
      <w:r>
        <w:rPr>
          <w:rStyle w:val="Emphasis"/>
          <w:i w:val="0"/>
        </w:rPr>
        <w:t xml:space="preserve">     </w:t>
      </w:r>
      <w:r w:rsidR="0059097D">
        <w:rPr>
          <w:rStyle w:val="Emphasis"/>
          <w:i w:val="0"/>
        </w:rPr>
        <w:t xml:space="preserve"> </w:t>
      </w:r>
    </w:p>
    <w:p w:rsidR="006B1EA7" w:rsidRDefault="006B1EA7" w:rsidP="00F87D71">
      <w:pPr>
        <w:tabs>
          <w:tab w:val="left" w:pos="1741"/>
        </w:tabs>
        <w:jc w:val="right"/>
        <w:rPr>
          <w:rStyle w:val="Emphasis"/>
          <w:i w:val="0"/>
        </w:rPr>
      </w:pPr>
    </w:p>
    <w:p w:rsidR="0059097D" w:rsidRDefault="0059097D" w:rsidP="00F87D71">
      <w:pPr>
        <w:tabs>
          <w:tab w:val="left" w:pos="1741"/>
        </w:tabs>
        <w:jc w:val="right"/>
        <w:rPr>
          <w:rStyle w:val="Emphasis"/>
          <w:i w:val="0"/>
        </w:rPr>
      </w:pPr>
      <w:r>
        <w:rPr>
          <w:rStyle w:val="Emphasis"/>
          <w:i w:val="0"/>
        </w:rPr>
        <w:t xml:space="preserve">                                                     </w:t>
      </w:r>
    </w:p>
    <w:p w:rsidR="0059097D" w:rsidRPr="00F935D4" w:rsidRDefault="0059097D" w:rsidP="00F87D71">
      <w:pPr>
        <w:tabs>
          <w:tab w:val="left" w:pos="1741"/>
        </w:tabs>
        <w:jc w:val="right"/>
        <w:rPr>
          <w:rStyle w:val="Emphasis"/>
          <w:i w:val="0"/>
        </w:rPr>
      </w:pPr>
      <w:r>
        <w:rPr>
          <w:rStyle w:val="Emphasis"/>
          <w:i w:val="0"/>
        </w:rPr>
        <w:t xml:space="preserve">                                                                Date:  </w:t>
      </w:r>
      <w:r w:rsidR="006B1EA7">
        <w:rPr>
          <w:rStyle w:val="Emphasis"/>
          <w:i w:val="0"/>
        </w:rPr>
        <w:t>10 January 2017</w:t>
      </w:r>
      <w:r>
        <w:rPr>
          <w:rStyle w:val="Emphasis"/>
          <w:i w:val="0"/>
        </w:rPr>
        <w:t xml:space="preserve">    </w:t>
      </w:r>
    </w:p>
    <w:sectPr w:rsidR="0059097D" w:rsidRPr="00F935D4" w:rsidSect="00260A97">
      <w:foot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63FC" w:rsidRDefault="00EC63FC" w:rsidP="00EF3E1F">
      <w:r>
        <w:separator/>
      </w:r>
    </w:p>
  </w:endnote>
  <w:endnote w:type="continuationSeparator" w:id="0">
    <w:p w:rsidR="00EC63FC" w:rsidRDefault="00EC63FC" w:rsidP="00EF3E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3517402"/>
      <w:docPartObj>
        <w:docPartGallery w:val="Page Numbers (Bottom of Page)"/>
        <w:docPartUnique/>
      </w:docPartObj>
    </w:sdtPr>
    <w:sdtEndPr>
      <w:rPr>
        <w:noProof/>
      </w:rPr>
    </w:sdtEndPr>
    <w:sdtContent>
      <w:p w:rsidR="00F441C7" w:rsidRDefault="00F441C7">
        <w:pPr>
          <w:pStyle w:val="Footer"/>
          <w:jc w:val="right"/>
        </w:pPr>
        <w:r>
          <w:fldChar w:fldCharType="begin"/>
        </w:r>
        <w:r>
          <w:instrText xml:space="preserve"> PAGE   \* MERGEFORMAT </w:instrText>
        </w:r>
        <w:r>
          <w:fldChar w:fldCharType="separate"/>
        </w:r>
        <w:r w:rsidR="00DC5761">
          <w:rPr>
            <w:noProof/>
          </w:rPr>
          <w:t>17</w:t>
        </w:r>
        <w:r>
          <w:rPr>
            <w:noProof/>
          </w:rPr>
          <w:fldChar w:fldCharType="end"/>
        </w:r>
      </w:p>
    </w:sdtContent>
  </w:sdt>
  <w:p w:rsidR="00F441C7" w:rsidRDefault="00F441C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63FC" w:rsidRDefault="00EC63FC" w:rsidP="00EF3E1F">
      <w:r>
        <w:separator/>
      </w:r>
    </w:p>
  </w:footnote>
  <w:footnote w:type="continuationSeparator" w:id="0">
    <w:p w:rsidR="00EC63FC" w:rsidRDefault="00EC63FC" w:rsidP="00EF3E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6896D7E6"/>
    <w:lvl w:ilvl="0">
      <w:numFmt w:val="bullet"/>
      <w:lvlText w:val="*"/>
      <w:lvlJc w:val="left"/>
    </w:lvl>
  </w:abstractNum>
  <w:abstractNum w:abstractNumId="1">
    <w:nsid w:val="045C664A"/>
    <w:multiLevelType w:val="hybridMultilevel"/>
    <w:tmpl w:val="432E901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12C7E2C"/>
    <w:multiLevelType w:val="hybridMultilevel"/>
    <w:tmpl w:val="549A03A4"/>
    <w:lvl w:ilvl="0" w:tplc="08090019">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114C3919"/>
    <w:multiLevelType w:val="hybridMultilevel"/>
    <w:tmpl w:val="E8B04C96"/>
    <w:lvl w:ilvl="0" w:tplc="72549AB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16A72927"/>
    <w:multiLevelType w:val="hybridMultilevel"/>
    <w:tmpl w:val="199CC844"/>
    <w:lvl w:ilvl="0" w:tplc="93E091B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19452458"/>
    <w:multiLevelType w:val="hybridMultilevel"/>
    <w:tmpl w:val="4D76080C"/>
    <w:lvl w:ilvl="0" w:tplc="6A8A8C0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AB42E53"/>
    <w:multiLevelType w:val="hybridMultilevel"/>
    <w:tmpl w:val="47AAD6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EA307F2"/>
    <w:multiLevelType w:val="hybridMultilevel"/>
    <w:tmpl w:val="BA689638"/>
    <w:lvl w:ilvl="0" w:tplc="B8DED23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nsid w:val="1EAD1348"/>
    <w:multiLevelType w:val="hybridMultilevel"/>
    <w:tmpl w:val="AD5E67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nsid w:val="1F80210A"/>
    <w:multiLevelType w:val="hybridMultilevel"/>
    <w:tmpl w:val="DB58455E"/>
    <w:lvl w:ilvl="0" w:tplc="6DDE38D8">
      <w:start w:val="1"/>
      <w:numFmt w:val="decimal"/>
      <w:lvlText w:val="%1."/>
      <w:lvlJc w:val="left"/>
      <w:pPr>
        <w:ind w:left="990" w:hanging="360"/>
      </w:pPr>
      <w:rPr>
        <w:b w:val="0"/>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2FA1A50"/>
    <w:multiLevelType w:val="hybridMultilevel"/>
    <w:tmpl w:val="CF84908A"/>
    <w:lvl w:ilvl="0" w:tplc="E7E8466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nsid w:val="23B50729"/>
    <w:multiLevelType w:val="hybridMultilevel"/>
    <w:tmpl w:val="40486800"/>
    <w:lvl w:ilvl="0" w:tplc="E010788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25A73464"/>
    <w:multiLevelType w:val="hybridMultilevel"/>
    <w:tmpl w:val="545A961C"/>
    <w:lvl w:ilvl="0" w:tplc="110C77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C5E429A"/>
    <w:multiLevelType w:val="hybridMultilevel"/>
    <w:tmpl w:val="9B4C2E0A"/>
    <w:lvl w:ilvl="0" w:tplc="ED44F652">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2CF32F51"/>
    <w:multiLevelType w:val="hybridMultilevel"/>
    <w:tmpl w:val="545A961C"/>
    <w:lvl w:ilvl="0" w:tplc="110C779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14B3AD3"/>
    <w:multiLevelType w:val="hybridMultilevel"/>
    <w:tmpl w:val="55644B96"/>
    <w:lvl w:ilvl="0" w:tplc="ED44F652">
      <w:start w:val="3"/>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67316CA"/>
    <w:multiLevelType w:val="hybridMultilevel"/>
    <w:tmpl w:val="65BC6C78"/>
    <w:lvl w:ilvl="0" w:tplc="4CEE9F3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37FF7304"/>
    <w:multiLevelType w:val="hybridMultilevel"/>
    <w:tmpl w:val="0D3AD6C2"/>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4FFD5DBC"/>
    <w:multiLevelType w:val="hybridMultilevel"/>
    <w:tmpl w:val="93FE244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554744B1"/>
    <w:multiLevelType w:val="hybridMultilevel"/>
    <w:tmpl w:val="6C989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9FA13EB"/>
    <w:multiLevelType w:val="hybridMultilevel"/>
    <w:tmpl w:val="CB9CC454"/>
    <w:lvl w:ilvl="0" w:tplc="6DDE38D8">
      <w:start w:val="1"/>
      <w:numFmt w:val="decimal"/>
      <w:lvlText w:val="%1."/>
      <w:lvlJc w:val="left"/>
      <w:pPr>
        <w:ind w:left="36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679B6242"/>
    <w:multiLevelType w:val="hybridMultilevel"/>
    <w:tmpl w:val="48AC440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1663480"/>
    <w:multiLevelType w:val="hybridMultilevel"/>
    <w:tmpl w:val="0B9CBE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76F436EC"/>
    <w:multiLevelType w:val="multilevel"/>
    <w:tmpl w:val="6A48C584"/>
    <w:lvl w:ilvl="0">
      <w:start w:val="1"/>
      <w:numFmt w:val="upperRoman"/>
      <w:lvlText w:val="%1."/>
      <w:lvlJc w:val="left"/>
      <w:pPr>
        <w:tabs>
          <w:tab w:val="num" w:pos="360"/>
        </w:tabs>
        <w:ind w:left="360" w:hanging="360"/>
      </w:pPr>
      <w:rPr>
        <w:rFonts w:hint="default"/>
        <w:b/>
      </w:rPr>
    </w:lvl>
    <w:lvl w:ilvl="1">
      <w:start w:val="1"/>
      <w:numFmt w:val="decimal"/>
      <w:lvlRestart w:val="0"/>
      <w:lvlText w:val="%2."/>
      <w:lvlJc w:val="left"/>
      <w:pPr>
        <w:tabs>
          <w:tab w:val="num" w:pos="972"/>
        </w:tabs>
        <w:ind w:left="972" w:hanging="432"/>
      </w:pPr>
      <w:rPr>
        <w:rFonts w:hint="default"/>
        <w:b w:val="0"/>
        <w:i w:val="0"/>
        <w:color w:val="auto"/>
      </w:rPr>
    </w:lvl>
    <w:lvl w:ilvl="2">
      <w:start w:val="1"/>
      <w:numFmt w:val="decimal"/>
      <w:lvlText w:val="%2.%3."/>
      <w:lvlJc w:val="left"/>
      <w:pPr>
        <w:tabs>
          <w:tab w:val="num" w:pos="1440"/>
        </w:tabs>
        <w:ind w:left="1224" w:hanging="504"/>
      </w:pPr>
      <w:rPr>
        <w:rFonts w:hint="default"/>
        <w:b w:val="0"/>
      </w:rPr>
    </w:lvl>
    <w:lvl w:ilvl="3">
      <w:start w:val="1"/>
      <w:numFmt w:val="decimal"/>
      <w:lvlText w:val="%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4">
    <w:nsid w:val="7D917C73"/>
    <w:multiLevelType w:val="hybridMultilevel"/>
    <w:tmpl w:val="162C03AC"/>
    <w:lvl w:ilvl="0" w:tplc="08090001">
      <w:start w:val="1"/>
      <w:numFmt w:val="bullet"/>
      <w:lvlText w:val=""/>
      <w:lvlJc w:val="left"/>
      <w:pPr>
        <w:ind w:left="1509" w:hanging="360"/>
      </w:pPr>
      <w:rPr>
        <w:rFonts w:ascii="Symbol" w:hAnsi="Symbol" w:hint="default"/>
      </w:rPr>
    </w:lvl>
    <w:lvl w:ilvl="1" w:tplc="08090003" w:tentative="1">
      <w:start w:val="1"/>
      <w:numFmt w:val="bullet"/>
      <w:lvlText w:val="o"/>
      <w:lvlJc w:val="left"/>
      <w:pPr>
        <w:ind w:left="2229" w:hanging="360"/>
      </w:pPr>
      <w:rPr>
        <w:rFonts w:ascii="Courier New" w:hAnsi="Courier New" w:cs="Courier New" w:hint="default"/>
      </w:rPr>
    </w:lvl>
    <w:lvl w:ilvl="2" w:tplc="08090005" w:tentative="1">
      <w:start w:val="1"/>
      <w:numFmt w:val="bullet"/>
      <w:lvlText w:val=""/>
      <w:lvlJc w:val="left"/>
      <w:pPr>
        <w:ind w:left="2949" w:hanging="360"/>
      </w:pPr>
      <w:rPr>
        <w:rFonts w:ascii="Wingdings" w:hAnsi="Wingdings" w:hint="default"/>
      </w:rPr>
    </w:lvl>
    <w:lvl w:ilvl="3" w:tplc="08090001" w:tentative="1">
      <w:start w:val="1"/>
      <w:numFmt w:val="bullet"/>
      <w:lvlText w:val=""/>
      <w:lvlJc w:val="left"/>
      <w:pPr>
        <w:ind w:left="3669" w:hanging="360"/>
      </w:pPr>
      <w:rPr>
        <w:rFonts w:ascii="Symbol" w:hAnsi="Symbol" w:hint="default"/>
      </w:rPr>
    </w:lvl>
    <w:lvl w:ilvl="4" w:tplc="08090003" w:tentative="1">
      <w:start w:val="1"/>
      <w:numFmt w:val="bullet"/>
      <w:lvlText w:val="o"/>
      <w:lvlJc w:val="left"/>
      <w:pPr>
        <w:ind w:left="4389" w:hanging="360"/>
      </w:pPr>
      <w:rPr>
        <w:rFonts w:ascii="Courier New" w:hAnsi="Courier New" w:cs="Courier New" w:hint="default"/>
      </w:rPr>
    </w:lvl>
    <w:lvl w:ilvl="5" w:tplc="08090005" w:tentative="1">
      <w:start w:val="1"/>
      <w:numFmt w:val="bullet"/>
      <w:lvlText w:val=""/>
      <w:lvlJc w:val="left"/>
      <w:pPr>
        <w:ind w:left="5109" w:hanging="360"/>
      </w:pPr>
      <w:rPr>
        <w:rFonts w:ascii="Wingdings" w:hAnsi="Wingdings" w:hint="default"/>
      </w:rPr>
    </w:lvl>
    <w:lvl w:ilvl="6" w:tplc="08090001" w:tentative="1">
      <w:start w:val="1"/>
      <w:numFmt w:val="bullet"/>
      <w:lvlText w:val=""/>
      <w:lvlJc w:val="left"/>
      <w:pPr>
        <w:ind w:left="5829" w:hanging="360"/>
      </w:pPr>
      <w:rPr>
        <w:rFonts w:ascii="Symbol" w:hAnsi="Symbol" w:hint="default"/>
      </w:rPr>
    </w:lvl>
    <w:lvl w:ilvl="7" w:tplc="08090003" w:tentative="1">
      <w:start w:val="1"/>
      <w:numFmt w:val="bullet"/>
      <w:lvlText w:val="o"/>
      <w:lvlJc w:val="left"/>
      <w:pPr>
        <w:ind w:left="6549" w:hanging="360"/>
      </w:pPr>
      <w:rPr>
        <w:rFonts w:ascii="Courier New" w:hAnsi="Courier New" w:cs="Courier New" w:hint="default"/>
      </w:rPr>
    </w:lvl>
    <w:lvl w:ilvl="8" w:tplc="08090005" w:tentative="1">
      <w:start w:val="1"/>
      <w:numFmt w:val="bullet"/>
      <w:lvlText w:val=""/>
      <w:lvlJc w:val="left"/>
      <w:pPr>
        <w:ind w:left="7269" w:hanging="360"/>
      </w:pPr>
      <w:rPr>
        <w:rFonts w:ascii="Wingdings" w:hAnsi="Wingdings" w:hint="default"/>
      </w:rPr>
    </w:lvl>
  </w:abstractNum>
  <w:num w:numId="1">
    <w:abstractNumId w:val="23"/>
  </w:num>
  <w:num w:numId="2">
    <w:abstractNumId w:val="0"/>
    <w:lvlOverride w:ilvl="0">
      <w:lvl w:ilvl="0">
        <w:numFmt w:val="bullet"/>
        <w:lvlText w:val=""/>
        <w:legacy w:legacy="1" w:legacySpace="0" w:legacyIndent="0"/>
        <w:lvlJc w:val="left"/>
        <w:rPr>
          <w:rFonts w:ascii="Symbol" w:hAnsi="Symbol" w:hint="default"/>
          <w:sz w:val="22"/>
        </w:rPr>
      </w:lvl>
    </w:lvlOverride>
  </w:num>
  <w:num w:numId="3">
    <w:abstractNumId w:val="9"/>
  </w:num>
  <w:num w:numId="4">
    <w:abstractNumId w:val="19"/>
  </w:num>
  <w:num w:numId="5">
    <w:abstractNumId w:val="11"/>
  </w:num>
  <w:num w:numId="6">
    <w:abstractNumId w:val="13"/>
  </w:num>
  <w:num w:numId="7">
    <w:abstractNumId w:val="15"/>
  </w:num>
  <w:num w:numId="8">
    <w:abstractNumId w:val="16"/>
  </w:num>
  <w:num w:numId="9">
    <w:abstractNumId w:val="5"/>
  </w:num>
  <w:num w:numId="10">
    <w:abstractNumId w:val="14"/>
  </w:num>
  <w:num w:numId="11">
    <w:abstractNumId w:val="4"/>
  </w:num>
  <w:num w:numId="12">
    <w:abstractNumId w:val="12"/>
  </w:num>
  <w:num w:numId="13">
    <w:abstractNumId w:val="24"/>
  </w:num>
  <w:num w:numId="14">
    <w:abstractNumId w:val="8"/>
  </w:num>
  <w:num w:numId="15">
    <w:abstractNumId w:val="7"/>
  </w:num>
  <w:num w:numId="16">
    <w:abstractNumId w:val="10"/>
  </w:num>
  <w:num w:numId="17">
    <w:abstractNumId w:val="6"/>
  </w:num>
  <w:num w:numId="18">
    <w:abstractNumId w:val="3"/>
  </w:num>
  <w:num w:numId="19">
    <w:abstractNumId w:val="20"/>
  </w:num>
  <w:num w:numId="20">
    <w:abstractNumId w:val="2"/>
  </w:num>
  <w:num w:numId="21">
    <w:abstractNumId w:val="1"/>
  </w:num>
  <w:num w:numId="22">
    <w:abstractNumId w:val="21"/>
  </w:num>
  <w:num w:numId="23">
    <w:abstractNumId w:val="22"/>
  </w:num>
  <w:num w:numId="24">
    <w:abstractNumId w:val="17"/>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E8"/>
    <w:rsid w:val="00010858"/>
    <w:rsid w:val="00014113"/>
    <w:rsid w:val="000177B5"/>
    <w:rsid w:val="0001786A"/>
    <w:rsid w:val="00020C26"/>
    <w:rsid w:val="00024646"/>
    <w:rsid w:val="0003241A"/>
    <w:rsid w:val="00042B6F"/>
    <w:rsid w:val="00043476"/>
    <w:rsid w:val="00057CEE"/>
    <w:rsid w:val="00060724"/>
    <w:rsid w:val="00061EB2"/>
    <w:rsid w:val="00063708"/>
    <w:rsid w:val="000743D9"/>
    <w:rsid w:val="0009762B"/>
    <w:rsid w:val="000A7FCA"/>
    <w:rsid w:val="000B0AEB"/>
    <w:rsid w:val="000B2B1F"/>
    <w:rsid w:val="000B454D"/>
    <w:rsid w:val="000B6535"/>
    <w:rsid w:val="000C37A3"/>
    <w:rsid w:val="000C7985"/>
    <w:rsid w:val="000D1785"/>
    <w:rsid w:val="000D6D3E"/>
    <w:rsid w:val="000E022D"/>
    <w:rsid w:val="000E4C6C"/>
    <w:rsid w:val="000F557C"/>
    <w:rsid w:val="001043B8"/>
    <w:rsid w:val="00115A6B"/>
    <w:rsid w:val="00125CCF"/>
    <w:rsid w:val="00131FCD"/>
    <w:rsid w:val="00134561"/>
    <w:rsid w:val="00151715"/>
    <w:rsid w:val="0016598F"/>
    <w:rsid w:val="00165ACD"/>
    <w:rsid w:val="001660C2"/>
    <w:rsid w:val="00184475"/>
    <w:rsid w:val="00185396"/>
    <w:rsid w:val="001944E9"/>
    <w:rsid w:val="001958E5"/>
    <w:rsid w:val="001D4786"/>
    <w:rsid w:val="001E0A18"/>
    <w:rsid w:val="001E6BBD"/>
    <w:rsid w:val="001F292A"/>
    <w:rsid w:val="001F77D3"/>
    <w:rsid w:val="00216846"/>
    <w:rsid w:val="00217310"/>
    <w:rsid w:val="00220F22"/>
    <w:rsid w:val="002257AB"/>
    <w:rsid w:val="002316EA"/>
    <w:rsid w:val="00237342"/>
    <w:rsid w:val="0024588F"/>
    <w:rsid w:val="00246F83"/>
    <w:rsid w:val="00260A97"/>
    <w:rsid w:val="00260C9E"/>
    <w:rsid w:val="002818ED"/>
    <w:rsid w:val="00281CC0"/>
    <w:rsid w:val="002A22F4"/>
    <w:rsid w:val="002B3BE7"/>
    <w:rsid w:val="002B694A"/>
    <w:rsid w:val="002C4868"/>
    <w:rsid w:val="00312AE8"/>
    <w:rsid w:val="003206E6"/>
    <w:rsid w:val="00320784"/>
    <w:rsid w:val="0033468C"/>
    <w:rsid w:val="00341C84"/>
    <w:rsid w:val="00357DD6"/>
    <w:rsid w:val="003609FC"/>
    <w:rsid w:val="00365ECB"/>
    <w:rsid w:val="00367F3E"/>
    <w:rsid w:val="003749C8"/>
    <w:rsid w:val="00385BB0"/>
    <w:rsid w:val="00386DDE"/>
    <w:rsid w:val="00397C7A"/>
    <w:rsid w:val="003A2F03"/>
    <w:rsid w:val="003A48B0"/>
    <w:rsid w:val="003A5BFD"/>
    <w:rsid w:val="003A778A"/>
    <w:rsid w:val="003B3897"/>
    <w:rsid w:val="003C2BB2"/>
    <w:rsid w:val="003D1821"/>
    <w:rsid w:val="003D4389"/>
    <w:rsid w:val="003F5C91"/>
    <w:rsid w:val="00401BAC"/>
    <w:rsid w:val="00404E27"/>
    <w:rsid w:val="00406EE3"/>
    <w:rsid w:val="0041626D"/>
    <w:rsid w:val="00417539"/>
    <w:rsid w:val="00441C37"/>
    <w:rsid w:val="00455122"/>
    <w:rsid w:val="0045597B"/>
    <w:rsid w:val="00456C73"/>
    <w:rsid w:val="004622A3"/>
    <w:rsid w:val="00464C00"/>
    <w:rsid w:val="00477B44"/>
    <w:rsid w:val="0048028B"/>
    <w:rsid w:val="00486591"/>
    <w:rsid w:val="00490669"/>
    <w:rsid w:val="004906EA"/>
    <w:rsid w:val="004932C5"/>
    <w:rsid w:val="004A782B"/>
    <w:rsid w:val="004B247C"/>
    <w:rsid w:val="004B4DC0"/>
    <w:rsid w:val="004C4EAA"/>
    <w:rsid w:val="004C5B17"/>
    <w:rsid w:val="004C6D4C"/>
    <w:rsid w:val="004D61EF"/>
    <w:rsid w:val="004E1415"/>
    <w:rsid w:val="004E22C7"/>
    <w:rsid w:val="004E38C6"/>
    <w:rsid w:val="004F78E4"/>
    <w:rsid w:val="00503765"/>
    <w:rsid w:val="00522215"/>
    <w:rsid w:val="00526302"/>
    <w:rsid w:val="00530540"/>
    <w:rsid w:val="0053283E"/>
    <w:rsid w:val="005340A7"/>
    <w:rsid w:val="00543FDC"/>
    <w:rsid w:val="00551C21"/>
    <w:rsid w:val="00555171"/>
    <w:rsid w:val="00557824"/>
    <w:rsid w:val="00557E07"/>
    <w:rsid w:val="00583C1E"/>
    <w:rsid w:val="0058510A"/>
    <w:rsid w:val="00587500"/>
    <w:rsid w:val="0059097D"/>
    <w:rsid w:val="005B7F8E"/>
    <w:rsid w:val="005C2FE4"/>
    <w:rsid w:val="005C4A7D"/>
    <w:rsid w:val="005D6B83"/>
    <w:rsid w:val="005E3BAB"/>
    <w:rsid w:val="005E67BC"/>
    <w:rsid w:val="005F7BF1"/>
    <w:rsid w:val="006022BE"/>
    <w:rsid w:val="0060396A"/>
    <w:rsid w:val="00625CFC"/>
    <w:rsid w:val="00647E3F"/>
    <w:rsid w:val="00651B04"/>
    <w:rsid w:val="00652595"/>
    <w:rsid w:val="00652A37"/>
    <w:rsid w:val="006563B9"/>
    <w:rsid w:val="00666E77"/>
    <w:rsid w:val="00670662"/>
    <w:rsid w:val="00673426"/>
    <w:rsid w:val="00693238"/>
    <w:rsid w:val="00694B95"/>
    <w:rsid w:val="00695494"/>
    <w:rsid w:val="00695D60"/>
    <w:rsid w:val="006A11C1"/>
    <w:rsid w:val="006A21BE"/>
    <w:rsid w:val="006A54A3"/>
    <w:rsid w:val="006B1EA7"/>
    <w:rsid w:val="006B4665"/>
    <w:rsid w:val="006D0ABB"/>
    <w:rsid w:val="006E28F0"/>
    <w:rsid w:val="006E4166"/>
    <w:rsid w:val="00711B8B"/>
    <w:rsid w:val="00711DBC"/>
    <w:rsid w:val="00715205"/>
    <w:rsid w:val="00720E65"/>
    <w:rsid w:val="007231E4"/>
    <w:rsid w:val="007300EB"/>
    <w:rsid w:val="00730E99"/>
    <w:rsid w:val="00736766"/>
    <w:rsid w:val="0074345C"/>
    <w:rsid w:val="00752C75"/>
    <w:rsid w:val="00754C2B"/>
    <w:rsid w:val="00770161"/>
    <w:rsid w:val="007963B6"/>
    <w:rsid w:val="007A391F"/>
    <w:rsid w:val="007B50F7"/>
    <w:rsid w:val="007C7F5F"/>
    <w:rsid w:val="007D172D"/>
    <w:rsid w:val="007E29F0"/>
    <w:rsid w:val="007E4EE9"/>
    <w:rsid w:val="007F5C65"/>
    <w:rsid w:val="007F71BC"/>
    <w:rsid w:val="00804F73"/>
    <w:rsid w:val="00812ABD"/>
    <w:rsid w:val="00812FEB"/>
    <w:rsid w:val="00832F9A"/>
    <w:rsid w:val="00841F0A"/>
    <w:rsid w:val="008435BF"/>
    <w:rsid w:val="00865471"/>
    <w:rsid w:val="00872106"/>
    <w:rsid w:val="00895B6F"/>
    <w:rsid w:val="008A18CB"/>
    <w:rsid w:val="008D2173"/>
    <w:rsid w:val="008E09F8"/>
    <w:rsid w:val="008E3DEE"/>
    <w:rsid w:val="008F0B8D"/>
    <w:rsid w:val="00916D55"/>
    <w:rsid w:val="0092400F"/>
    <w:rsid w:val="009265A5"/>
    <w:rsid w:val="00931BA7"/>
    <w:rsid w:val="00932B7E"/>
    <w:rsid w:val="00943C4C"/>
    <w:rsid w:val="009529C5"/>
    <w:rsid w:val="009611B9"/>
    <w:rsid w:val="00965464"/>
    <w:rsid w:val="00967FA3"/>
    <w:rsid w:val="00977BB3"/>
    <w:rsid w:val="00992A47"/>
    <w:rsid w:val="009B2344"/>
    <w:rsid w:val="009B52AF"/>
    <w:rsid w:val="009C2DEF"/>
    <w:rsid w:val="009D006F"/>
    <w:rsid w:val="009E74F1"/>
    <w:rsid w:val="00A01CA9"/>
    <w:rsid w:val="00A05719"/>
    <w:rsid w:val="00A06A2B"/>
    <w:rsid w:val="00A0769A"/>
    <w:rsid w:val="00A12985"/>
    <w:rsid w:val="00A178CA"/>
    <w:rsid w:val="00A22490"/>
    <w:rsid w:val="00A63B59"/>
    <w:rsid w:val="00A73D7B"/>
    <w:rsid w:val="00A76369"/>
    <w:rsid w:val="00A8465A"/>
    <w:rsid w:val="00A95093"/>
    <w:rsid w:val="00A96344"/>
    <w:rsid w:val="00A9780E"/>
    <w:rsid w:val="00AA5940"/>
    <w:rsid w:val="00AB663D"/>
    <w:rsid w:val="00AC0CC4"/>
    <w:rsid w:val="00AC5B48"/>
    <w:rsid w:val="00AD1391"/>
    <w:rsid w:val="00AE3B3A"/>
    <w:rsid w:val="00AE7D5A"/>
    <w:rsid w:val="00B01212"/>
    <w:rsid w:val="00B42AA9"/>
    <w:rsid w:val="00B53D96"/>
    <w:rsid w:val="00B56FF4"/>
    <w:rsid w:val="00B735DB"/>
    <w:rsid w:val="00B84760"/>
    <w:rsid w:val="00B84DBC"/>
    <w:rsid w:val="00B953E4"/>
    <w:rsid w:val="00B97442"/>
    <w:rsid w:val="00BA2A64"/>
    <w:rsid w:val="00BB0EBA"/>
    <w:rsid w:val="00BD3C0C"/>
    <w:rsid w:val="00BD5EAE"/>
    <w:rsid w:val="00BE3A0F"/>
    <w:rsid w:val="00C01ABC"/>
    <w:rsid w:val="00C03477"/>
    <w:rsid w:val="00C05564"/>
    <w:rsid w:val="00C11D4D"/>
    <w:rsid w:val="00C20168"/>
    <w:rsid w:val="00C20673"/>
    <w:rsid w:val="00C2275B"/>
    <w:rsid w:val="00C23019"/>
    <w:rsid w:val="00C45F92"/>
    <w:rsid w:val="00C5026B"/>
    <w:rsid w:val="00C64BAC"/>
    <w:rsid w:val="00C83812"/>
    <w:rsid w:val="00C864CA"/>
    <w:rsid w:val="00C93B8D"/>
    <w:rsid w:val="00C93FC1"/>
    <w:rsid w:val="00CA6E05"/>
    <w:rsid w:val="00CB5FD5"/>
    <w:rsid w:val="00CC162E"/>
    <w:rsid w:val="00CC30E8"/>
    <w:rsid w:val="00CC49CE"/>
    <w:rsid w:val="00CD6D4C"/>
    <w:rsid w:val="00CD7948"/>
    <w:rsid w:val="00CE1E60"/>
    <w:rsid w:val="00CE52E8"/>
    <w:rsid w:val="00CF2A6F"/>
    <w:rsid w:val="00CF3492"/>
    <w:rsid w:val="00CF5FF2"/>
    <w:rsid w:val="00D30658"/>
    <w:rsid w:val="00D31C0B"/>
    <w:rsid w:val="00D332FF"/>
    <w:rsid w:val="00D353BC"/>
    <w:rsid w:val="00D3677B"/>
    <w:rsid w:val="00D45BB3"/>
    <w:rsid w:val="00D742C6"/>
    <w:rsid w:val="00D94BF5"/>
    <w:rsid w:val="00DA0B9F"/>
    <w:rsid w:val="00DB15F6"/>
    <w:rsid w:val="00DB409C"/>
    <w:rsid w:val="00DC4083"/>
    <w:rsid w:val="00DC485C"/>
    <w:rsid w:val="00DC5761"/>
    <w:rsid w:val="00DC73C8"/>
    <w:rsid w:val="00DF12D1"/>
    <w:rsid w:val="00DF266F"/>
    <w:rsid w:val="00DF376F"/>
    <w:rsid w:val="00DF6FD2"/>
    <w:rsid w:val="00E10591"/>
    <w:rsid w:val="00E11AB9"/>
    <w:rsid w:val="00E2423E"/>
    <w:rsid w:val="00E30F6C"/>
    <w:rsid w:val="00E35F98"/>
    <w:rsid w:val="00E3603B"/>
    <w:rsid w:val="00E41AD3"/>
    <w:rsid w:val="00E63B87"/>
    <w:rsid w:val="00E87211"/>
    <w:rsid w:val="00E94FB0"/>
    <w:rsid w:val="00E97A6B"/>
    <w:rsid w:val="00EA575E"/>
    <w:rsid w:val="00EA5A6D"/>
    <w:rsid w:val="00EC63FC"/>
    <w:rsid w:val="00ED5367"/>
    <w:rsid w:val="00ED6E64"/>
    <w:rsid w:val="00EE0555"/>
    <w:rsid w:val="00EF3E1F"/>
    <w:rsid w:val="00EF4BFD"/>
    <w:rsid w:val="00F0408E"/>
    <w:rsid w:val="00F043E3"/>
    <w:rsid w:val="00F13E94"/>
    <w:rsid w:val="00F16B64"/>
    <w:rsid w:val="00F237DD"/>
    <w:rsid w:val="00F2426B"/>
    <w:rsid w:val="00F270CD"/>
    <w:rsid w:val="00F27165"/>
    <w:rsid w:val="00F3605B"/>
    <w:rsid w:val="00F441C7"/>
    <w:rsid w:val="00F453D4"/>
    <w:rsid w:val="00F621AE"/>
    <w:rsid w:val="00F71312"/>
    <w:rsid w:val="00F87D71"/>
    <w:rsid w:val="00F935D4"/>
    <w:rsid w:val="00FA13C4"/>
    <w:rsid w:val="00FC5649"/>
    <w:rsid w:val="00FC6D1C"/>
    <w:rsid w:val="00FD36EA"/>
    <w:rsid w:val="00FD4E73"/>
    <w:rsid w:val="00FE46AF"/>
    <w:rsid w:val="00FE61EC"/>
    <w:rsid w:val="00FF245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935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63B59"/>
    <w:rPr>
      <w:sz w:val="16"/>
      <w:szCs w:val="16"/>
    </w:rPr>
  </w:style>
  <w:style w:type="paragraph" w:styleId="CommentText">
    <w:name w:val="annotation text"/>
    <w:basedOn w:val="Normal"/>
    <w:link w:val="CommentTextChar"/>
    <w:uiPriority w:val="99"/>
    <w:unhideWhenUsed/>
    <w:rsid w:val="00A63B5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63B59"/>
    <w:rPr>
      <w:rFonts w:asciiTheme="minorHAnsi" w:eastAsiaTheme="minorHAnsi" w:hAnsiTheme="minorHAnsi" w:cstheme="minorBidi"/>
      <w:lang w:eastAsia="en-US"/>
    </w:rPr>
  </w:style>
  <w:style w:type="paragraph" w:styleId="BalloonText">
    <w:name w:val="Balloon Text"/>
    <w:basedOn w:val="Normal"/>
    <w:link w:val="BalloonTextChar"/>
    <w:rsid w:val="00A63B59"/>
    <w:rPr>
      <w:rFonts w:ascii="Tahoma" w:hAnsi="Tahoma" w:cs="Tahoma"/>
      <w:sz w:val="16"/>
      <w:szCs w:val="16"/>
    </w:rPr>
  </w:style>
  <w:style w:type="character" w:customStyle="1" w:styleId="BalloonTextChar">
    <w:name w:val="Balloon Text Char"/>
    <w:basedOn w:val="DefaultParagraphFont"/>
    <w:link w:val="BalloonText"/>
    <w:rsid w:val="00A63B59"/>
    <w:rPr>
      <w:rFonts w:ascii="Tahoma" w:hAnsi="Tahoma" w:cs="Tahoma"/>
      <w:sz w:val="16"/>
      <w:szCs w:val="16"/>
      <w:lang w:eastAsia="en-US"/>
    </w:rPr>
  </w:style>
  <w:style w:type="paragraph" w:styleId="CommentSubject">
    <w:name w:val="annotation subject"/>
    <w:basedOn w:val="CommentText"/>
    <w:next w:val="CommentText"/>
    <w:link w:val="CommentSubjectChar"/>
    <w:rsid w:val="000D178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0D1785"/>
    <w:rPr>
      <w:rFonts w:asciiTheme="minorHAnsi" w:eastAsiaTheme="minorHAnsi" w:hAnsiTheme="minorHAnsi" w:cstheme="minorBidi"/>
      <w:b/>
      <w:bCs/>
      <w:lang w:eastAsia="en-US"/>
    </w:rPr>
  </w:style>
  <w:style w:type="paragraph" w:customStyle="1" w:styleId="DualTxt">
    <w:name w:val="__Dual Txt"/>
    <w:basedOn w:val="Normal"/>
    <w:rsid w:val="00977BB3"/>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H23">
    <w:name w:val="_ H_2/3"/>
    <w:basedOn w:val="Normal"/>
    <w:next w:val="SingleTxt"/>
    <w:rsid w:val="004C5B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b/>
      <w:spacing w:val="2"/>
      <w:w w:val="103"/>
      <w:kern w:val="14"/>
      <w:sz w:val="20"/>
      <w:szCs w:val="20"/>
    </w:rPr>
  </w:style>
  <w:style w:type="paragraph" w:customStyle="1" w:styleId="SingleTxt">
    <w:name w:val="__Single Txt"/>
    <w:basedOn w:val="Normal"/>
    <w:rsid w:val="004C5B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styleId="Header">
    <w:name w:val="header"/>
    <w:basedOn w:val="Normal"/>
    <w:link w:val="HeaderChar"/>
    <w:rsid w:val="00EF3E1F"/>
    <w:pPr>
      <w:tabs>
        <w:tab w:val="center" w:pos="4513"/>
        <w:tab w:val="right" w:pos="9026"/>
      </w:tabs>
    </w:pPr>
  </w:style>
  <w:style w:type="character" w:customStyle="1" w:styleId="HeaderChar">
    <w:name w:val="Header Char"/>
    <w:basedOn w:val="DefaultParagraphFont"/>
    <w:link w:val="Header"/>
    <w:rsid w:val="00EF3E1F"/>
    <w:rPr>
      <w:sz w:val="24"/>
      <w:szCs w:val="24"/>
      <w:lang w:eastAsia="en-US"/>
    </w:rPr>
  </w:style>
  <w:style w:type="paragraph" w:styleId="Footer">
    <w:name w:val="footer"/>
    <w:basedOn w:val="Normal"/>
    <w:link w:val="FooterChar"/>
    <w:uiPriority w:val="99"/>
    <w:rsid w:val="00EF3E1F"/>
    <w:pPr>
      <w:tabs>
        <w:tab w:val="center" w:pos="4513"/>
        <w:tab w:val="right" w:pos="9026"/>
      </w:tabs>
    </w:pPr>
  </w:style>
  <w:style w:type="character" w:customStyle="1" w:styleId="FooterChar">
    <w:name w:val="Footer Char"/>
    <w:basedOn w:val="DefaultParagraphFont"/>
    <w:link w:val="Footer"/>
    <w:uiPriority w:val="99"/>
    <w:rsid w:val="00EF3E1F"/>
    <w:rPr>
      <w:sz w:val="24"/>
      <w:szCs w:val="24"/>
      <w:lang w:eastAsia="en-US"/>
    </w:rPr>
  </w:style>
  <w:style w:type="character" w:styleId="Hyperlink">
    <w:name w:val="Hyperlink"/>
    <w:basedOn w:val="DefaultParagraphFont"/>
    <w:rsid w:val="00EF4BFD"/>
    <w:rPr>
      <w:color w:val="0000FF" w:themeColor="hyperlink"/>
      <w:u w:val="single"/>
    </w:rPr>
  </w:style>
  <w:style w:type="paragraph" w:styleId="ListParagraph">
    <w:name w:val="List Paragraph"/>
    <w:basedOn w:val="Normal"/>
    <w:uiPriority w:val="34"/>
    <w:qFormat/>
    <w:rsid w:val="00237342"/>
    <w:pPr>
      <w:ind w:left="720"/>
      <w:contextualSpacing/>
    </w:pPr>
  </w:style>
  <w:style w:type="character" w:styleId="Strong">
    <w:name w:val="Strong"/>
    <w:basedOn w:val="DefaultParagraphFont"/>
    <w:qFormat/>
    <w:rsid w:val="00F935D4"/>
    <w:rPr>
      <w:b/>
      <w:bCs/>
    </w:rPr>
  </w:style>
  <w:style w:type="character" w:styleId="Emphasis">
    <w:name w:val="Emphasis"/>
    <w:basedOn w:val="DefaultParagraphFont"/>
    <w:qFormat/>
    <w:rsid w:val="00F935D4"/>
    <w:rPr>
      <w:i/>
      <w:iCs/>
    </w:rPr>
  </w:style>
  <w:style w:type="character" w:customStyle="1" w:styleId="Heading1Char">
    <w:name w:val="Heading 1 Char"/>
    <w:basedOn w:val="DefaultParagraphFont"/>
    <w:link w:val="Heading1"/>
    <w:rsid w:val="00F935D4"/>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rsid w:val="00DC576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F935D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8659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unhideWhenUsed/>
    <w:rsid w:val="00A63B59"/>
    <w:rPr>
      <w:sz w:val="16"/>
      <w:szCs w:val="16"/>
    </w:rPr>
  </w:style>
  <w:style w:type="paragraph" w:styleId="CommentText">
    <w:name w:val="annotation text"/>
    <w:basedOn w:val="Normal"/>
    <w:link w:val="CommentTextChar"/>
    <w:uiPriority w:val="99"/>
    <w:unhideWhenUsed/>
    <w:rsid w:val="00A63B59"/>
    <w:pPr>
      <w:spacing w:after="20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A63B59"/>
    <w:rPr>
      <w:rFonts w:asciiTheme="minorHAnsi" w:eastAsiaTheme="minorHAnsi" w:hAnsiTheme="minorHAnsi" w:cstheme="minorBidi"/>
      <w:lang w:eastAsia="en-US"/>
    </w:rPr>
  </w:style>
  <w:style w:type="paragraph" w:styleId="BalloonText">
    <w:name w:val="Balloon Text"/>
    <w:basedOn w:val="Normal"/>
    <w:link w:val="BalloonTextChar"/>
    <w:rsid w:val="00A63B59"/>
    <w:rPr>
      <w:rFonts w:ascii="Tahoma" w:hAnsi="Tahoma" w:cs="Tahoma"/>
      <w:sz w:val="16"/>
      <w:szCs w:val="16"/>
    </w:rPr>
  </w:style>
  <w:style w:type="character" w:customStyle="1" w:styleId="BalloonTextChar">
    <w:name w:val="Balloon Text Char"/>
    <w:basedOn w:val="DefaultParagraphFont"/>
    <w:link w:val="BalloonText"/>
    <w:rsid w:val="00A63B59"/>
    <w:rPr>
      <w:rFonts w:ascii="Tahoma" w:hAnsi="Tahoma" w:cs="Tahoma"/>
      <w:sz w:val="16"/>
      <w:szCs w:val="16"/>
      <w:lang w:eastAsia="en-US"/>
    </w:rPr>
  </w:style>
  <w:style w:type="paragraph" w:styleId="CommentSubject">
    <w:name w:val="annotation subject"/>
    <w:basedOn w:val="CommentText"/>
    <w:next w:val="CommentText"/>
    <w:link w:val="CommentSubjectChar"/>
    <w:rsid w:val="000D1785"/>
    <w:pPr>
      <w:spacing w:after="0"/>
    </w:pPr>
    <w:rPr>
      <w:rFonts w:ascii="Times New Roman" w:eastAsia="Times New Roman" w:hAnsi="Times New Roman" w:cs="Times New Roman"/>
      <w:b/>
      <w:bCs/>
    </w:rPr>
  </w:style>
  <w:style w:type="character" w:customStyle="1" w:styleId="CommentSubjectChar">
    <w:name w:val="Comment Subject Char"/>
    <w:basedOn w:val="CommentTextChar"/>
    <w:link w:val="CommentSubject"/>
    <w:rsid w:val="000D1785"/>
    <w:rPr>
      <w:rFonts w:asciiTheme="minorHAnsi" w:eastAsiaTheme="minorHAnsi" w:hAnsiTheme="minorHAnsi" w:cstheme="minorBidi"/>
      <w:b/>
      <w:bCs/>
      <w:lang w:eastAsia="en-US"/>
    </w:rPr>
  </w:style>
  <w:style w:type="paragraph" w:customStyle="1" w:styleId="DualTxt">
    <w:name w:val="__Dual Txt"/>
    <w:basedOn w:val="Normal"/>
    <w:rsid w:val="00977BB3"/>
    <w:pPr>
      <w:tabs>
        <w:tab w:val="left" w:pos="480"/>
        <w:tab w:val="left" w:pos="960"/>
        <w:tab w:val="left" w:pos="1440"/>
        <w:tab w:val="left" w:pos="1915"/>
        <w:tab w:val="left" w:pos="2405"/>
        <w:tab w:val="left" w:pos="2880"/>
        <w:tab w:val="left" w:pos="3355"/>
      </w:tabs>
      <w:suppressAutoHyphens/>
      <w:spacing w:after="120" w:line="240" w:lineRule="exact"/>
      <w:jc w:val="both"/>
    </w:pPr>
    <w:rPr>
      <w:spacing w:val="4"/>
      <w:w w:val="103"/>
      <w:kern w:val="14"/>
      <w:sz w:val="20"/>
      <w:szCs w:val="20"/>
    </w:rPr>
  </w:style>
  <w:style w:type="paragraph" w:customStyle="1" w:styleId="H23">
    <w:name w:val="_ H_2/3"/>
    <w:basedOn w:val="Normal"/>
    <w:next w:val="SingleTxt"/>
    <w:rsid w:val="004C5B17"/>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240" w:lineRule="exact"/>
      <w:ind w:left="1267" w:right="1267" w:hanging="1267"/>
      <w:outlineLvl w:val="1"/>
    </w:pPr>
    <w:rPr>
      <w:b/>
      <w:spacing w:val="2"/>
      <w:w w:val="103"/>
      <w:kern w:val="14"/>
      <w:sz w:val="20"/>
      <w:szCs w:val="20"/>
    </w:rPr>
  </w:style>
  <w:style w:type="paragraph" w:customStyle="1" w:styleId="SingleTxt">
    <w:name w:val="__Single Txt"/>
    <w:basedOn w:val="Normal"/>
    <w:rsid w:val="004C5B17"/>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spacing w:val="4"/>
      <w:w w:val="103"/>
      <w:kern w:val="14"/>
      <w:sz w:val="20"/>
      <w:szCs w:val="20"/>
    </w:rPr>
  </w:style>
  <w:style w:type="paragraph" w:styleId="Header">
    <w:name w:val="header"/>
    <w:basedOn w:val="Normal"/>
    <w:link w:val="HeaderChar"/>
    <w:rsid w:val="00EF3E1F"/>
    <w:pPr>
      <w:tabs>
        <w:tab w:val="center" w:pos="4513"/>
        <w:tab w:val="right" w:pos="9026"/>
      </w:tabs>
    </w:pPr>
  </w:style>
  <w:style w:type="character" w:customStyle="1" w:styleId="HeaderChar">
    <w:name w:val="Header Char"/>
    <w:basedOn w:val="DefaultParagraphFont"/>
    <w:link w:val="Header"/>
    <w:rsid w:val="00EF3E1F"/>
    <w:rPr>
      <w:sz w:val="24"/>
      <w:szCs w:val="24"/>
      <w:lang w:eastAsia="en-US"/>
    </w:rPr>
  </w:style>
  <w:style w:type="paragraph" w:styleId="Footer">
    <w:name w:val="footer"/>
    <w:basedOn w:val="Normal"/>
    <w:link w:val="FooterChar"/>
    <w:uiPriority w:val="99"/>
    <w:rsid w:val="00EF3E1F"/>
    <w:pPr>
      <w:tabs>
        <w:tab w:val="center" w:pos="4513"/>
        <w:tab w:val="right" w:pos="9026"/>
      </w:tabs>
    </w:pPr>
  </w:style>
  <w:style w:type="character" w:customStyle="1" w:styleId="FooterChar">
    <w:name w:val="Footer Char"/>
    <w:basedOn w:val="DefaultParagraphFont"/>
    <w:link w:val="Footer"/>
    <w:uiPriority w:val="99"/>
    <w:rsid w:val="00EF3E1F"/>
    <w:rPr>
      <w:sz w:val="24"/>
      <w:szCs w:val="24"/>
      <w:lang w:eastAsia="en-US"/>
    </w:rPr>
  </w:style>
  <w:style w:type="character" w:styleId="Hyperlink">
    <w:name w:val="Hyperlink"/>
    <w:basedOn w:val="DefaultParagraphFont"/>
    <w:rsid w:val="00EF4BFD"/>
    <w:rPr>
      <w:color w:val="0000FF" w:themeColor="hyperlink"/>
      <w:u w:val="single"/>
    </w:rPr>
  </w:style>
  <w:style w:type="paragraph" w:styleId="ListParagraph">
    <w:name w:val="List Paragraph"/>
    <w:basedOn w:val="Normal"/>
    <w:uiPriority w:val="34"/>
    <w:qFormat/>
    <w:rsid w:val="00237342"/>
    <w:pPr>
      <w:ind w:left="720"/>
      <w:contextualSpacing/>
    </w:pPr>
  </w:style>
  <w:style w:type="character" w:styleId="Strong">
    <w:name w:val="Strong"/>
    <w:basedOn w:val="DefaultParagraphFont"/>
    <w:qFormat/>
    <w:rsid w:val="00F935D4"/>
    <w:rPr>
      <w:b/>
      <w:bCs/>
    </w:rPr>
  </w:style>
  <w:style w:type="character" w:styleId="Emphasis">
    <w:name w:val="Emphasis"/>
    <w:basedOn w:val="DefaultParagraphFont"/>
    <w:qFormat/>
    <w:rsid w:val="00F935D4"/>
    <w:rPr>
      <w:i/>
      <w:iCs/>
    </w:rPr>
  </w:style>
  <w:style w:type="character" w:customStyle="1" w:styleId="Heading1Char">
    <w:name w:val="Heading 1 Char"/>
    <w:basedOn w:val="DefaultParagraphFont"/>
    <w:link w:val="Heading1"/>
    <w:rsid w:val="00F935D4"/>
    <w:rPr>
      <w:rFonts w:asciiTheme="majorHAnsi" w:eastAsiaTheme="majorEastAsia" w:hAnsiTheme="majorHAnsi" w:cstheme="majorBidi"/>
      <w:b/>
      <w:bCs/>
      <w:color w:val="365F91" w:themeColor="accent1" w:themeShade="BF"/>
      <w:sz w:val="28"/>
      <w:szCs w:val="28"/>
      <w:lang w:eastAsia="en-US"/>
    </w:rPr>
  </w:style>
  <w:style w:type="character" w:styleId="FollowedHyperlink">
    <w:name w:val="FollowedHyperlink"/>
    <w:basedOn w:val="DefaultParagraphFont"/>
    <w:rsid w:val="00DC576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yperlink" Target="http://undocs.org/ST/AI/2016/4" TargetMode="External"/><Relationship Id="rId2" Type="http://schemas.openxmlformats.org/officeDocument/2006/relationships/numbering" Target="numbering.xml"/><Relationship Id="rId16" Type="http://schemas.openxmlformats.org/officeDocument/2006/relationships/hyperlink" Target="http://undocs.org/ST/AI/2016/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1.png"/><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commonsystem.org/cr/" TargetMode="External"/><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solidFill>
          <a:schemeClr val="lt1"/>
        </a:solid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8479C-E01C-407A-BBDD-B496E8005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18</Pages>
  <Words>6907</Words>
  <Characters>36077</Characters>
  <Application>Microsoft Office Word</Application>
  <DocSecurity>0</DocSecurity>
  <Lines>300</Lines>
  <Paragraphs>85</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42899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Kenneth Ewang</dc:creator>
  <cp:lastModifiedBy>Maria.Baccay</cp:lastModifiedBy>
  <cp:revision>4</cp:revision>
  <cp:lastPrinted>2017-02-10T15:37:00Z</cp:lastPrinted>
  <dcterms:created xsi:type="dcterms:W3CDTF">2017-02-10T15:39:00Z</dcterms:created>
  <dcterms:modified xsi:type="dcterms:W3CDTF">2017-04-18T16:32:00Z</dcterms:modified>
</cp:coreProperties>
</file>