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C0B" w:rsidRDefault="00004C0B" w:rsidP="00004C0B">
      <w:pPr>
        <w:spacing w:line="240" w:lineRule="auto"/>
        <w:rPr>
          <w:sz w:val="2"/>
        </w:rPr>
        <w:sectPr w:rsidR="00004C0B" w:rsidSect="00E16A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200" w:bottom="1728" w:left="1200" w:header="432" w:footer="576" w:gutter="0"/>
          <w:cols w:space="720"/>
          <w:titlePg/>
          <w:docGrid w:linePitch="360"/>
        </w:sectPr>
      </w:pPr>
      <w:bookmarkStart w:id="0" w:name="_GoBack"/>
      <w:bookmarkEnd w:id="0"/>
    </w:p>
    <w:p w:rsidR="00994BDC" w:rsidRPr="00994BDC" w:rsidRDefault="00994BDC" w:rsidP="00994BDC">
      <w:pPr>
        <w:framePr w:w="9792" w:h="432" w:hSpace="180" w:wrap="around" w:vAnchor="page" w:hAnchor="page" w:x="1210" w:y="13753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before="80" w:line="210" w:lineRule="exact"/>
        <w:ind w:left="1267" w:right="1267" w:hanging="576"/>
        <w:rPr>
          <w:sz w:val="17"/>
        </w:rPr>
      </w:pPr>
      <w:r>
        <w:rPr>
          <w:sz w:val="17"/>
          <w:szCs w:val="17"/>
          <w:lang w:val="fr-FR"/>
        </w:rPr>
        <w:tab/>
      </w:r>
      <w:r w:rsidRPr="006F269D">
        <w:rPr>
          <w:sz w:val="17"/>
          <w:szCs w:val="17"/>
          <w:lang w:val="fr-FR"/>
        </w:rPr>
        <w:t>*</w:t>
      </w:r>
      <w:r w:rsidRPr="006F269D">
        <w:rPr>
          <w:sz w:val="17"/>
          <w:szCs w:val="17"/>
          <w:lang w:val="fr-FR"/>
        </w:rPr>
        <w:tab/>
        <w:t xml:space="preserve">La présente circulaire remplace la circulaire </w:t>
      </w:r>
      <w:hyperlink r:id="rId13" w:history="1">
        <w:r w:rsidRPr="00667FBB">
          <w:rPr>
            <w:rStyle w:val="Hyperlink"/>
            <w:sz w:val="17"/>
            <w:szCs w:val="17"/>
            <w:lang w:val="fr-FR"/>
          </w:rPr>
          <w:t>ST/IC/2013/16</w:t>
        </w:r>
      </w:hyperlink>
      <w:r w:rsidRPr="006F269D">
        <w:rPr>
          <w:sz w:val="17"/>
          <w:szCs w:val="17"/>
          <w:lang w:val="fr-FR"/>
        </w:rPr>
        <w:t xml:space="preserve"> du 17 mai 2013 et restera en vigueur jusqu</w:t>
      </w:r>
      <w:r>
        <w:rPr>
          <w:sz w:val="17"/>
          <w:szCs w:val="17"/>
          <w:lang w:val="fr-FR"/>
        </w:rPr>
        <w:t>’</w:t>
      </w:r>
      <w:r w:rsidRPr="006F269D">
        <w:rPr>
          <w:sz w:val="17"/>
          <w:szCs w:val="17"/>
          <w:lang w:val="fr-FR"/>
        </w:rPr>
        <w:t>à nouvel ordre.</w:t>
      </w:r>
      <w:r w:rsidRPr="00994BDC">
        <w:rPr>
          <w:noProof/>
          <w:w w:val="100"/>
          <w:sz w:val="17"/>
          <w:lang w:val="en-GB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E5EC2" wp14:editId="2535EC2E">
                <wp:simplePos x="0" y="0"/>
                <wp:positionH relativeFrom="page">
                  <wp:posOffset>1371600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67D8D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08pt,-1pt" to="180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7LQ2QEAAAwEAAAOAAAAZHJzL2Uyb0RvYy54bWysU9uO0zAQfUfiHyy/0yTLQiFqug9dLS8I&#10;KhY+wHXGiSXfNDZN+/eMnTa7AiQEIg+OL3POzDkeb+5O1rAjYNTedbxZ1ZyBk77Xbuj4t68Pr95x&#10;FpNwvTDeQcfPEPnd9uWLzRRauPGjNz0gIxIX2yl0fEwptFUV5QhWxJUP4OhQebQi0RKHqkcxEbs1&#10;1U1dv60mj31ALyFG2r2fD/m28CsFMn1WKkJipuNUWyojlvGQx2q7Ee2AIoxaXsoQ/1CFFdpR0oXq&#10;XiTBvqP+hcpqiT56lVbS28orpSUUDaSmqX9S8ziKAEULmRPDYlP8f7Ty03GPTPcdX3PmhKUrekwo&#10;9DAmtvPOkYEe2Tr7NIXYUvjO7fGyimGPWfRJoc1/ksNOxdvz4i2cEpO0+b65va3pBuT1qHrCBYzp&#10;A3jL8qTjRrusWrTi+DEmykWh15C8bRybOv66Wb8pUdEb3T9oY/JZxOGwM8iOIl94U9OXayeGZ2G0&#10;Mo42s6JZQ5mls4GZ/wso8oSqbuYMuRthoRVSgkvNhdc4is4wRSUswPrPwEt8hkLp1L8BL4iS2bu0&#10;gK12Hn+XPZ2uJas5/urArDtbcPD9udxusYZarjh3eR65p5+vC/zpEW9/AAAA//8DAFBLAwQUAAYA&#10;CAAAACEArrESuN4AAAAJAQAADwAAAGRycy9kb3ducmV2LnhtbEyPT0vDQBDF74LfYRnBW7tphBBi&#10;JkUsCsVTq0W8bbPTJJidDdltG/vpHfGgp/n3ePN75XJyvTrRGDrPCIt5Aoq49rbjBuHt9WmWgwrR&#10;sDW9Z0L4ogDL6vqqNIX1Z97QaRsbJSYcCoPQxjgUWoe6JWfC3A/Ecjv40Zko49hoO5qzmLtep0mS&#10;aWc6lg+tGeixpfpze3QI+eXdrtb2JV9Nu8PzZcg/ss1ujXh7Mz3cg4o0xT8x/OALOlTCtPdHtkH1&#10;COkikywRYZZKFcFdlkiz/13oqtT/E1TfAAAA//8DAFBLAQItABQABgAIAAAAIQC2gziS/gAAAOEB&#10;AAATAAAAAAAAAAAAAAAAAAAAAABbQ29udGVudF9UeXBlc10ueG1sUEsBAi0AFAAGAAgAAAAhADj9&#10;If/WAAAAlAEAAAsAAAAAAAAAAAAAAAAALwEAAF9yZWxzLy5yZWxzUEsBAi0AFAAGAAgAAAAhAG5L&#10;stDZAQAADAQAAA4AAAAAAAAAAAAAAAAALgIAAGRycy9lMm9Eb2MueG1sUEsBAi0AFAAGAAgAAAAh&#10;AK6xErj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p w:rsidR="00E16AE2" w:rsidRDefault="00E16AE2" w:rsidP="00E16AE2">
      <w:pPr>
        <w:pStyle w:val="TitleHCH"/>
      </w:pPr>
      <w:r>
        <w:rPr>
          <w:lang w:val="fr-FR"/>
        </w:rPr>
        <w:tab/>
      </w:r>
      <w:r>
        <w:rPr>
          <w:lang w:val="fr-FR"/>
        </w:rPr>
        <w:tab/>
      </w:r>
      <w:r w:rsidRPr="00E16AE2">
        <w:rPr>
          <w:lang w:val="fr-FR"/>
        </w:rPr>
        <w:t>Circulaire</w:t>
      </w:r>
      <w:r w:rsidRPr="00E16AE2">
        <w:rPr>
          <w:sz w:val="20"/>
          <w:szCs w:val="20"/>
          <w:lang w:val="fr-FR"/>
        </w:rPr>
        <w:t>*</w:t>
      </w:r>
    </w:p>
    <w:p w:rsidR="00E16AE2" w:rsidRDefault="00E16AE2" w:rsidP="00E16AE2">
      <w:pPr>
        <w:pStyle w:val="HCH"/>
        <w:ind w:left="1310"/>
      </w:pPr>
    </w:p>
    <w:p w:rsidR="00E16AE2" w:rsidRDefault="00E16AE2" w:rsidP="00E16AE2">
      <w:pPr>
        <w:tabs>
          <w:tab w:val="right" w:pos="1166"/>
          <w:tab w:val="left" w:pos="1310"/>
        </w:tabs>
        <w:ind w:left="1310" w:hanging="1310"/>
      </w:pPr>
      <w:r>
        <w:tab/>
      </w:r>
      <w:r>
        <w:tab/>
      </w:r>
      <w:r w:rsidRPr="00E16AE2">
        <w:rPr>
          <w:lang w:val="fr-FR"/>
        </w:rPr>
        <w:t>Circulaire de la Sous-Secrétaire générale à la gestion des ressources humaines</w:t>
      </w:r>
    </w:p>
    <w:p w:rsidR="00E16AE2" w:rsidRPr="00E16AE2" w:rsidRDefault="00E16AE2" w:rsidP="00E16AE2">
      <w:pPr>
        <w:pStyle w:val="SingleTxt"/>
      </w:pPr>
    </w:p>
    <w:p w:rsidR="00E16AE2" w:rsidRDefault="00E16AE2" w:rsidP="00E16AE2">
      <w:pPr>
        <w:tabs>
          <w:tab w:val="right" w:pos="1166"/>
          <w:tab w:val="left" w:pos="1310"/>
        </w:tabs>
        <w:ind w:left="1310" w:hanging="1310"/>
      </w:pPr>
      <w:r>
        <w:tab/>
        <w:t>Destinataires :</w:t>
      </w:r>
      <w:r>
        <w:tab/>
        <w:t>Les fonctionnaires du Siège</w:t>
      </w:r>
    </w:p>
    <w:p w:rsidR="00E16AE2" w:rsidRDefault="00E16AE2" w:rsidP="00E16AE2">
      <w:pPr>
        <w:tabs>
          <w:tab w:val="right" w:pos="1166"/>
          <w:tab w:val="left" w:pos="1310"/>
        </w:tabs>
        <w:ind w:left="1310" w:hanging="1310"/>
      </w:pPr>
    </w:p>
    <w:p w:rsidR="00E16AE2" w:rsidRDefault="00E16AE2" w:rsidP="00E16AE2">
      <w:pPr>
        <w:pStyle w:val="H1"/>
        <w:tabs>
          <w:tab w:val="right" w:pos="1166"/>
          <w:tab w:val="left" w:pos="1310"/>
        </w:tabs>
        <w:ind w:left="1310" w:hanging="1310"/>
        <w:rPr>
          <w:lang w:val="fr-FR"/>
        </w:rPr>
      </w:pPr>
      <w:r w:rsidRPr="00E16AE2">
        <w:rPr>
          <w:b w:val="0"/>
          <w:sz w:val="20"/>
        </w:rPr>
        <w:tab/>
        <w:t>Objet</w:t>
      </w:r>
      <w:r>
        <w:t> </w:t>
      </w:r>
      <w:r w:rsidRPr="00E16AE2">
        <w:rPr>
          <w:b w:val="0"/>
          <w:sz w:val="20"/>
        </w:rPr>
        <w:t>:</w:t>
      </w:r>
      <w:r w:rsidRPr="00E16AE2">
        <w:rPr>
          <w:b w:val="0"/>
          <w:sz w:val="20"/>
        </w:rPr>
        <w:tab/>
      </w:r>
      <w:r w:rsidRPr="00E16AE2">
        <w:rPr>
          <w:lang w:val="fr-FR"/>
        </w:rPr>
        <w:t>Conseil de justice interne</w:t>
      </w:r>
    </w:p>
    <w:p w:rsidR="00E16AE2" w:rsidRPr="00E16AE2" w:rsidRDefault="00E16AE2" w:rsidP="00E16AE2">
      <w:pPr>
        <w:rPr>
          <w:lang w:val="fr-FR"/>
        </w:rPr>
      </w:pPr>
    </w:p>
    <w:p w:rsidR="00E16AE2" w:rsidRPr="00E16AE2" w:rsidRDefault="00E16AE2" w:rsidP="00E16AE2">
      <w:pPr>
        <w:pStyle w:val="SingleTxt"/>
        <w:rPr>
          <w:lang w:val="fr-FR"/>
        </w:rPr>
      </w:pPr>
      <w:r w:rsidRPr="00E16AE2">
        <w:rPr>
          <w:lang w:val="fr-FR"/>
        </w:rPr>
        <w:t>1.</w:t>
      </w:r>
      <w:r w:rsidRPr="00E16AE2">
        <w:rPr>
          <w:lang w:val="fr-FR"/>
        </w:rPr>
        <w:tab/>
        <w:t>La présente circulaire a pour objet d</w:t>
      </w:r>
      <w:r w:rsidR="00994BDC">
        <w:rPr>
          <w:lang w:val="fr-FR"/>
        </w:rPr>
        <w:t>’</w:t>
      </w:r>
      <w:r w:rsidRPr="00E16AE2">
        <w:rPr>
          <w:lang w:val="fr-FR"/>
        </w:rPr>
        <w:t>informer le personnel du mandat et de la composition du Conseil de justice interne.</w:t>
      </w:r>
    </w:p>
    <w:p w:rsidR="00E16AE2" w:rsidRPr="00667FBB" w:rsidRDefault="00E16AE2" w:rsidP="00667FBB">
      <w:pPr>
        <w:pStyle w:val="SingleTxt"/>
        <w:spacing w:after="0" w:line="120" w:lineRule="exact"/>
        <w:rPr>
          <w:sz w:val="10"/>
          <w:lang w:val="fr-FR"/>
        </w:rPr>
      </w:pPr>
    </w:p>
    <w:p w:rsidR="00E16AE2" w:rsidRPr="00E16AE2" w:rsidRDefault="00E16AE2" w:rsidP="006F269D">
      <w:pPr>
        <w:pStyle w:val="TitleH2"/>
        <w:rPr>
          <w:lang w:val="fr-FR"/>
        </w:rPr>
      </w:pPr>
      <w:r w:rsidRPr="00E16AE2">
        <w:rPr>
          <w:lang w:val="fr-FR"/>
        </w:rPr>
        <w:tab/>
      </w:r>
      <w:r w:rsidRPr="00E16AE2">
        <w:rPr>
          <w:lang w:val="fr-FR"/>
        </w:rPr>
        <w:tab/>
        <w:t>Mandat du Conseil de justice interne</w:t>
      </w:r>
    </w:p>
    <w:p w:rsidR="00E16AE2" w:rsidRPr="00667FBB" w:rsidRDefault="00E16AE2" w:rsidP="00667FBB">
      <w:pPr>
        <w:pStyle w:val="SingleTxt"/>
        <w:spacing w:after="0" w:line="120" w:lineRule="exact"/>
        <w:rPr>
          <w:sz w:val="10"/>
          <w:lang w:val="fr-FR"/>
        </w:rPr>
      </w:pPr>
    </w:p>
    <w:p w:rsidR="00E16AE2" w:rsidRPr="00E16AE2" w:rsidRDefault="006F269D" w:rsidP="006F269D">
      <w:pPr>
        <w:pStyle w:val="SingleTxt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</w:r>
      <w:r w:rsidR="00E16AE2" w:rsidRPr="00E16AE2">
        <w:rPr>
          <w:lang w:val="fr-FR"/>
        </w:rPr>
        <w:t xml:space="preserve">Au paragraphe 36 de sa résolution </w:t>
      </w:r>
      <w:hyperlink r:id="rId14" w:history="1">
        <w:r w:rsidR="00E16AE2" w:rsidRPr="00667FBB">
          <w:rPr>
            <w:rStyle w:val="Hyperlink"/>
            <w:lang w:val="fr-FR"/>
          </w:rPr>
          <w:t>62/228</w:t>
        </w:r>
      </w:hyperlink>
      <w:r w:rsidR="00E16AE2" w:rsidRPr="00E16AE2">
        <w:rPr>
          <w:lang w:val="fr-FR"/>
        </w:rPr>
        <w:t xml:space="preserve"> du 22 décembre 2007, l</w:t>
      </w:r>
      <w:r w:rsidR="00994BDC">
        <w:rPr>
          <w:lang w:val="fr-FR"/>
        </w:rPr>
        <w:t>’</w:t>
      </w:r>
      <w:r w:rsidR="00E16AE2" w:rsidRPr="00E16AE2">
        <w:rPr>
          <w:lang w:val="fr-FR"/>
        </w:rPr>
        <w:t>Assemblée générale a décidé d</w:t>
      </w:r>
      <w:r w:rsidR="00994BDC">
        <w:rPr>
          <w:lang w:val="fr-FR"/>
        </w:rPr>
        <w:t>’</w:t>
      </w:r>
      <w:r w:rsidR="00E16AE2" w:rsidRPr="00E16AE2">
        <w:rPr>
          <w:lang w:val="fr-FR"/>
        </w:rPr>
        <w:t>instituer le Conseil de justice interne pour garantir l</w:t>
      </w:r>
      <w:r w:rsidR="00994BDC">
        <w:rPr>
          <w:lang w:val="fr-FR"/>
        </w:rPr>
        <w:t>’</w:t>
      </w:r>
      <w:r w:rsidR="00E16AE2" w:rsidRPr="00E16AE2">
        <w:rPr>
          <w:lang w:val="fr-FR"/>
        </w:rPr>
        <w:t>indépendance, le professionnalisme et la responsabilisation du système d</w:t>
      </w:r>
      <w:r w:rsidR="00994BDC">
        <w:rPr>
          <w:lang w:val="fr-FR"/>
        </w:rPr>
        <w:t>’</w:t>
      </w:r>
      <w:r w:rsidR="00E16AE2" w:rsidRPr="00E16AE2">
        <w:rPr>
          <w:lang w:val="fr-FR"/>
        </w:rPr>
        <w:t>administration de la justice à l</w:t>
      </w:r>
      <w:r w:rsidR="00994BDC">
        <w:rPr>
          <w:lang w:val="fr-FR"/>
        </w:rPr>
        <w:t>’</w:t>
      </w:r>
      <w:r w:rsidR="00E16AE2" w:rsidRPr="00E16AE2">
        <w:rPr>
          <w:lang w:val="fr-FR"/>
        </w:rPr>
        <w:t>Organisation des Nations Unies. Inauguré le 1</w:t>
      </w:r>
      <w:r w:rsidR="00E16AE2" w:rsidRPr="00E16AE2">
        <w:rPr>
          <w:vertAlign w:val="superscript"/>
          <w:lang w:val="fr-FR"/>
        </w:rPr>
        <w:t>er</w:t>
      </w:r>
      <w:r w:rsidR="00E16AE2" w:rsidRPr="00E16AE2">
        <w:rPr>
          <w:lang w:val="fr-FR"/>
        </w:rPr>
        <w:t> juillet 2009, le système comporte un double degré, soit une instance du premier degré, le Tribunal du contentieux administratif des Nations Unies, et une instance d</w:t>
      </w:r>
      <w:r w:rsidR="00994BDC">
        <w:rPr>
          <w:lang w:val="fr-FR"/>
        </w:rPr>
        <w:t>’</w:t>
      </w:r>
      <w:r w:rsidR="00E16AE2" w:rsidRPr="00E16AE2">
        <w:rPr>
          <w:lang w:val="fr-FR"/>
        </w:rPr>
        <w:t>appel, le Tribunal d</w:t>
      </w:r>
      <w:r w:rsidR="00994BDC">
        <w:rPr>
          <w:lang w:val="fr-FR"/>
        </w:rPr>
        <w:t>’</w:t>
      </w:r>
      <w:r w:rsidR="00E16AE2" w:rsidRPr="00E16AE2">
        <w:rPr>
          <w:lang w:val="fr-FR"/>
        </w:rPr>
        <w:t xml:space="preserve">appel des Nations Unies. Conformément au paragraphe 37 de la résolution </w:t>
      </w:r>
      <w:hyperlink r:id="rId15" w:history="1">
        <w:r w:rsidR="00E16AE2" w:rsidRPr="00667FBB">
          <w:rPr>
            <w:rStyle w:val="Hyperlink"/>
            <w:lang w:val="fr-FR"/>
          </w:rPr>
          <w:t>62/228</w:t>
        </w:r>
      </w:hyperlink>
      <w:r w:rsidR="00E16AE2" w:rsidRPr="00E16AE2">
        <w:rPr>
          <w:lang w:val="fr-FR"/>
        </w:rPr>
        <w:t xml:space="preserve">, au paragraphe 57 de la résolution </w:t>
      </w:r>
      <w:hyperlink r:id="rId16" w:history="1">
        <w:r w:rsidR="00E16AE2" w:rsidRPr="00667FBB">
          <w:rPr>
            <w:rStyle w:val="Hyperlink"/>
            <w:lang w:val="fr-FR"/>
          </w:rPr>
          <w:t>63/253</w:t>
        </w:r>
      </w:hyperlink>
      <w:r w:rsidR="00E16AE2" w:rsidRPr="00E16AE2">
        <w:rPr>
          <w:lang w:val="fr-FR"/>
        </w:rPr>
        <w:t xml:space="preserve"> et au paragraphe 45 de la résolution </w:t>
      </w:r>
      <w:hyperlink r:id="rId17" w:history="1">
        <w:r w:rsidR="00E16AE2" w:rsidRPr="00667FBB">
          <w:rPr>
            <w:rStyle w:val="Hyperlink"/>
            <w:lang w:val="fr-FR"/>
          </w:rPr>
          <w:t>66/237</w:t>
        </w:r>
      </w:hyperlink>
      <w:r w:rsidR="00E16AE2" w:rsidRPr="00E16AE2">
        <w:rPr>
          <w:lang w:val="fr-FR"/>
        </w:rPr>
        <w:t>, les fonctions du Conseil de justice interne sont les suivantes :</w:t>
      </w:r>
    </w:p>
    <w:p w:rsidR="00E16AE2" w:rsidRPr="00E16AE2" w:rsidRDefault="00E16AE2" w:rsidP="00E16AE2">
      <w:pPr>
        <w:pStyle w:val="SingleTxt"/>
        <w:rPr>
          <w:lang w:val="fr-FR"/>
        </w:rPr>
      </w:pPr>
      <w:r w:rsidRPr="00E16AE2">
        <w:rPr>
          <w:lang w:val="fr-FR"/>
        </w:rPr>
        <w:tab/>
        <w:t>a)</w:t>
      </w:r>
      <w:r w:rsidRPr="00E16AE2">
        <w:rPr>
          <w:lang w:val="fr-FR"/>
        </w:rPr>
        <w:tab/>
        <w:t>Assurer la liaison avec le Bureau de la gestion des ressources humaines sur les questions ayant trait à la recherche de candidats convenables pour exercer les fonctions de juge, y compris aux fins d</w:t>
      </w:r>
      <w:r w:rsidR="00994BDC">
        <w:rPr>
          <w:lang w:val="fr-FR"/>
        </w:rPr>
        <w:t>’</w:t>
      </w:r>
      <w:r w:rsidRPr="00E16AE2">
        <w:rPr>
          <w:lang w:val="fr-FR"/>
        </w:rPr>
        <w:t>entretiens avec les candidats, selon qu</w:t>
      </w:r>
      <w:r w:rsidR="00994BDC">
        <w:rPr>
          <w:lang w:val="fr-FR"/>
        </w:rPr>
        <w:t>’</w:t>
      </w:r>
      <w:r w:rsidRPr="00E16AE2">
        <w:rPr>
          <w:lang w:val="fr-FR"/>
        </w:rPr>
        <w:t>il conviendra;</w:t>
      </w:r>
    </w:p>
    <w:p w:rsidR="00E16AE2" w:rsidRPr="00E16AE2" w:rsidRDefault="00E16AE2" w:rsidP="00E16AE2">
      <w:pPr>
        <w:pStyle w:val="SingleTxt"/>
        <w:rPr>
          <w:lang w:val="fr-FR"/>
        </w:rPr>
      </w:pPr>
      <w:r w:rsidRPr="00E16AE2">
        <w:rPr>
          <w:lang w:val="fr-FR"/>
        </w:rPr>
        <w:tab/>
        <w:t>b)</w:t>
      </w:r>
      <w:r w:rsidRPr="00E16AE2">
        <w:rPr>
          <w:lang w:val="fr-FR"/>
        </w:rPr>
        <w:tab/>
        <w:t>Communiquer ses vues et recommandations à l</w:t>
      </w:r>
      <w:r w:rsidR="00994BDC">
        <w:rPr>
          <w:lang w:val="fr-FR"/>
        </w:rPr>
        <w:t>’</w:t>
      </w:r>
      <w:r w:rsidRPr="00E16AE2">
        <w:rPr>
          <w:lang w:val="fr-FR"/>
        </w:rPr>
        <w:t>Assemblée générale concernant deux ou trois candidats pour cha</w:t>
      </w:r>
      <w:r w:rsidRPr="00E16AE2">
        <w:t>que poste vacant au Tribunal du contentieux administratif des Nations Unies et au Tribunal d</w:t>
      </w:r>
      <w:r w:rsidR="00994BDC">
        <w:t>’</w:t>
      </w:r>
      <w:r w:rsidRPr="00E16AE2">
        <w:t>appel des Nations</w:t>
      </w:r>
      <w:r w:rsidRPr="00E16AE2">
        <w:rPr>
          <w:lang w:val="fr-FR"/>
        </w:rPr>
        <w:t xml:space="preserve"> Unies, compte dûment tenu du principe de la répartition géographique. À cet égard, le Conseil de justice interne ne devra pas recommander plus d</w:t>
      </w:r>
      <w:r w:rsidR="00994BDC">
        <w:rPr>
          <w:lang w:val="fr-FR"/>
        </w:rPr>
        <w:t>’</w:t>
      </w:r>
      <w:r w:rsidRPr="00E16AE2">
        <w:rPr>
          <w:lang w:val="fr-FR"/>
        </w:rPr>
        <w:t>un candidat d</w:t>
      </w:r>
      <w:r w:rsidR="00994BDC">
        <w:rPr>
          <w:lang w:val="fr-FR"/>
        </w:rPr>
        <w:t>’</w:t>
      </w:r>
      <w:r w:rsidRPr="00E16AE2">
        <w:rPr>
          <w:lang w:val="fr-FR"/>
        </w:rPr>
        <w:t>un seul État Membre comme juge au Tribunal du contentieux administratif, ni plus d</w:t>
      </w:r>
      <w:r w:rsidR="00994BDC">
        <w:rPr>
          <w:lang w:val="fr-FR"/>
        </w:rPr>
        <w:t>’</w:t>
      </w:r>
      <w:r w:rsidRPr="00E16AE2">
        <w:rPr>
          <w:lang w:val="fr-FR"/>
        </w:rPr>
        <w:t>un candidat d</w:t>
      </w:r>
      <w:r w:rsidR="00994BDC">
        <w:rPr>
          <w:lang w:val="fr-FR"/>
        </w:rPr>
        <w:t>’</w:t>
      </w:r>
      <w:r w:rsidRPr="00E16AE2">
        <w:rPr>
          <w:lang w:val="fr-FR"/>
        </w:rPr>
        <w:t>un seul État Membre comme juge au Tribunal d</w:t>
      </w:r>
      <w:r w:rsidR="00994BDC">
        <w:rPr>
          <w:lang w:val="fr-FR"/>
        </w:rPr>
        <w:t>’</w:t>
      </w:r>
      <w:r w:rsidRPr="00E16AE2">
        <w:rPr>
          <w:lang w:val="fr-FR"/>
        </w:rPr>
        <w:t>appel;</w:t>
      </w:r>
    </w:p>
    <w:p w:rsidR="00E16AE2" w:rsidRPr="00E16AE2" w:rsidRDefault="00E16AE2" w:rsidP="00E16AE2">
      <w:pPr>
        <w:pStyle w:val="SingleTxt"/>
        <w:rPr>
          <w:lang w:val="fr-FR"/>
        </w:rPr>
      </w:pPr>
      <w:r w:rsidRPr="00E16AE2">
        <w:rPr>
          <w:lang w:val="fr-FR"/>
        </w:rPr>
        <w:lastRenderedPageBreak/>
        <w:tab/>
        <w:t>c)</w:t>
      </w:r>
      <w:r w:rsidRPr="00E16AE2">
        <w:rPr>
          <w:lang w:val="fr-FR"/>
        </w:rPr>
        <w:tab/>
        <w:t>Rédiger pour examen par l</w:t>
      </w:r>
      <w:r w:rsidR="00994BDC">
        <w:rPr>
          <w:lang w:val="fr-FR"/>
        </w:rPr>
        <w:t>’</w:t>
      </w:r>
      <w:r w:rsidRPr="00E16AE2">
        <w:rPr>
          <w:lang w:val="fr-FR"/>
        </w:rPr>
        <w:t>Assemblée générale un projet de code de conduite des juges</w:t>
      </w:r>
      <w:r w:rsidRPr="006F269D">
        <w:rPr>
          <w:vertAlign w:val="superscript"/>
          <w:lang w:val="fr-FR"/>
        </w:rPr>
        <w:footnoteReference w:id="1"/>
      </w:r>
      <w:r w:rsidRPr="00E16AE2">
        <w:rPr>
          <w:lang w:val="fr-FR"/>
        </w:rPr>
        <w:t>;</w:t>
      </w:r>
    </w:p>
    <w:p w:rsidR="00E16AE2" w:rsidRPr="00E16AE2" w:rsidRDefault="00E16AE2" w:rsidP="00E16AE2">
      <w:pPr>
        <w:pStyle w:val="SingleTxt"/>
        <w:rPr>
          <w:lang w:val="fr-FR"/>
        </w:rPr>
      </w:pPr>
      <w:r w:rsidRPr="00E16AE2">
        <w:rPr>
          <w:lang w:val="fr-FR"/>
        </w:rPr>
        <w:tab/>
        <w:t>d)</w:t>
      </w:r>
      <w:r w:rsidRPr="00E16AE2">
        <w:rPr>
          <w:lang w:val="fr-FR"/>
        </w:rPr>
        <w:tab/>
        <w:t>Donner à l</w:t>
      </w:r>
      <w:r w:rsidR="00994BDC">
        <w:rPr>
          <w:lang w:val="fr-FR"/>
        </w:rPr>
        <w:t>’</w:t>
      </w:r>
      <w:r w:rsidRPr="00E16AE2">
        <w:rPr>
          <w:lang w:val="fr-FR"/>
        </w:rPr>
        <w:t>Assemblée générale son avis sur la mise en place du système d</w:t>
      </w:r>
      <w:r w:rsidR="00994BDC">
        <w:rPr>
          <w:lang w:val="fr-FR"/>
        </w:rPr>
        <w:t>’</w:t>
      </w:r>
      <w:r w:rsidRPr="00E16AE2">
        <w:rPr>
          <w:lang w:val="fr-FR"/>
        </w:rPr>
        <w:t xml:space="preserve">administration de la justice; </w:t>
      </w:r>
    </w:p>
    <w:p w:rsidR="00E16AE2" w:rsidRPr="00E16AE2" w:rsidRDefault="00E16AE2" w:rsidP="00E16AE2">
      <w:pPr>
        <w:pStyle w:val="SingleTxt"/>
        <w:rPr>
          <w:lang w:val="fr-FR"/>
        </w:rPr>
      </w:pPr>
      <w:r w:rsidRPr="00E16AE2">
        <w:rPr>
          <w:lang w:val="fr-FR"/>
        </w:rPr>
        <w:tab/>
        <w:t>e)</w:t>
      </w:r>
      <w:r w:rsidRPr="00E16AE2">
        <w:rPr>
          <w:lang w:val="fr-FR"/>
        </w:rPr>
        <w:tab/>
        <w:t>Présenter dans ses rapports annuels les vues du Tribunal du contentieux administratif et du Tribunal d</w:t>
      </w:r>
      <w:r w:rsidR="00994BDC">
        <w:rPr>
          <w:lang w:val="fr-FR"/>
        </w:rPr>
        <w:t>’</w:t>
      </w:r>
      <w:r w:rsidRPr="00E16AE2">
        <w:rPr>
          <w:lang w:val="fr-FR"/>
        </w:rPr>
        <w:t>appel;</w:t>
      </w:r>
    </w:p>
    <w:p w:rsidR="00E16AE2" w:rsidRPr="00E16AE2" w:rsidRDefault="00F224BD" w:rsidP="00E16AE2">
      <w:pPr>
        <w:pStyle w:val="SingleTxt"/>
        <w:rPr>
          <w:lang w:val="fr-FR"/>
        </w:rPr>
      </w:pPr>
      <w:r>
        <w:rPr>
          <w:lang w:val="fr-FR"/>
        </w:rPr>
        <w:tab/>
      </w:r>
      <w:r w:rsidR="00E16AE2" w:rsidRPr="00E16AE2">
        <w:rPr>
          <w:lang w:val="fr-FR"/>
        </w:rPr>
        <w:t>f)</w:t>
      </w:r>
      <w:r w:rsidR="00E16AE2" w:rsidRPr="00E16AE2">
        <w:rPr>
          <w:lang w:val="fr-FR"/>
        </w:rPr>
        <w:tab/>
        <w:t>S</w:t>
      </w:r>
      <w:r w:rsidR="00994BDC">
        <w:rPr>
          <w:lang w:val="fr-FR"/>
        </w:rPr>
        <w:t>’</w:t>
      </w:r>
      <w:r w:rsidR="00E16AE2" w:rsidRPr="00E16AE2">
        <w:rPr>
          <w:lang w:val="fr-FR"/>
        </w:rPr>
        <w:t>acquitter ponctuellement d</w:t>
      </w:r>
      <w:r w:rsidR="00994BDC">
        <w:rPr>
          <w:lang w:val="fr-FR"/>
        </w:rPr>
        <w:t>’</w:t>
      </w:r>
      <w:r w:rsidR="00E16AE2" w:rsidRPr="00E16AE2">
        <w:rPr>
          <w:lang w:val="fr-FR"/>
        </w:rPr>
        <w:t>autres tâches à la demande de l</w:t>
      </w:r>
      <w:r w:rsidR="00994BDC">
        <w:rPr>
          <w:lang w:val="fr-FR"/>
        </w:rPr>
        <w:t>’</w:t>
      </w:r>
      <w:r w:rsidR="00E16AE2" w:rsidRPr="00E16AE2">
        <w:rPr>
          <w:lang w:val="fr-FR"/>
        </w:rPr>
        <w:t>Assemblée générale</w:t>
      </w:r>
      <w:r w:rsidR="00E16AE2" w:rsidRPr="006F269D">
        <w:rPr>
          <w:vertAlign w:val="superscript"/>
          <w:lang w:val="fr-FR"/>
        </w:rPr>
        <w:footnoteReference w:id="2"/>
      </w:r>
      <w:r w:rsidR="00E16AE2" w:rsidRPr="00E16AE2">
        <w:rPr>
          <w:lang w:val="fr-FR"/>
        </w:rPr>
        <w:t>.</w:t>
      </w:r>
    </w:p>
    <w:p w:rsidR="00E16AE2" w:rsidRPr="006F269D" w:rsidRDefault="00E16AE2" w:rsidP="006F269D">
      <w:pPr>
        <w:pStyle w:val="SingleTxt"/>
        <w:spacing w:after="0" w:line="120" w:lineRule="exact"/>
        <w:rPr>
          <w:sz w:val="10"/>
          <w:lang w:val="fr-FR"/>
        </w:rPr>
      </w:pPr>
    </w:p>
    <w:p w:rsidR="00E16AE2" w:rsidRPr="00E16AE2" w:rsidRDefault="00E16AE2" w:rsidP="00E16AE2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E16AE2">
        <w:rPr>
          <w:lang w:val="fr-FR"/>
        </w:rPr>
        <w:tab/>
      </w:r>
      <w:r w:rsidRPr="00E16AE2">
        <w:rPr>
          <w:lang w:val="fr-FR"/>
        </w:rPr>
        <w:tab/>
        <w:t>Composition du Conseil de justice interne</w:t>
      </w:r>
    </w:p>
    <w:p w:rsidR="00E16AE2" w:rsidRPr="006F269D" w:rsidRDefault="00E16AE2" w:rsidP="006F269D">
      <w:pPr>
        <w:pStyle w:val="SingleTxt"/>
        <w:spacing w:after="0" w:line="120" w:lineRule="exact"/>
        <w:rPr>
          <w:sz w:val="10"/>
          <w:lang w:val="fr-FR"/>
        </w:rPr>
      </w:pPr>
    </w:p>
    <w:p w:rsidR="00E16AE2" w:rsidRDefault="006F269D" w:rsidP="006F269D">
      <w:pPr>
        <w:pStyle w:val="SingleTxt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</w:r>
      <w:r w:rsidR="00E16AE2" w:rsidRPr="00E16AE2">
        <w:rPr>
          <w:lang w:val="fr-FR"/>
        </w:rPr>
        <w:t xml:space="preserve">Comme indiqué au paragraphe 36 de sa résolution </w:t>
      </w:r>
      <w:hyperlink r:id="rId18" w:history="1">
        <w:r w:rsidR="00E16AE2" w:rsidRPr="00667FBB">
          <w:rPr>
            <w:rStyle w:val="Hyperlink"/>
            <w:lang w:val="fr-FR"/>
          </w:rPr>
          <w:t>62/228</w:t>
        </w:r>
      </w:hyperlink>
      <w:r w:rsidR="00E16AE2" w:rsidRPr="00E16AE2">
        <w:rPr>
          <w:lang w:val="fr-FR"/>
        </w:rPr>
        <w:t>, l</w:t>
      </w:r>
      <w:r w:rsidR="00994BDC">
        <w:rPr>
          <w:lang w:val="fr-FR"/>
        </w:rPr>
        <w:t>’</w:t>
      </w:r>
      <w:r w:rsidR="00E16AE2" w:rsidRPr="00E16AE2">
        <w:rPr>
          <w:lang w:val="fr-FR"/>
        </w:rPr>
        <w:t>Assemblée générale a décidé que le Conseil de justice interne serait composé d</w:t>
      </w:r>
      <w:r w:rsidR="00994BDC">
        <w:rPr>
          <w:lang w:val="fr-FR"/>
        </w:rPr>
        <w:t>’</w:t>
      </w:r>
      <w:r w:rsidR="00E16AE2" w:rsidRPr="00E16AE2">
        <w:rPr>
          <w:lang w:val="fr-FR"/>
        </w:rPr>
        <w:t>un représentant du personnel, d</w:t>
      </w:r>
      <w:r w:rsidR="00994BDC">
        <w:rPr>
          <w:lang w:val="fr-FR"/>
        </w:rPr>
        <w:t>’</w:t>
      </w:r>
      <w:r w:rsidR="00E16AE2" w:rsidRPr="00E16AE2">
        <w:rPr>
          <w:lang w:val="fr-FR"/>
        </w:rPr>
        <w:t>un représentant de l</w:t>
      </w:r>
      <w:r w:rsidR="00994BDC">
        <w:rPr>
          <w:lang w:val="fr-FR"/>
        </w:rPr>
        <w:t>’</w:t>
      </w:r>
      <w:r w:rsidR="00E16AE2" w:rsidRPr="00E16AE2">
        <w:rPr>
          <w:lang w:val="fr-FR"/>
        </w:rPr>
        <w:t>administration et de deux éminents juristes externes, nommés l</w:t>
      </w:r>
      <w:r w:rsidR="00994BDC">
        <w:rPr>
          <w:lang w:val="fr-FR"/>
        </w:rPr>
        <w:t>’</w:t>
      </w:r>
      <w:r w:rsidR="00E16AE2" w:rsidRPr="00E16AE2">
        <w:rPr>
          <w:lang w:val="fr-FR"/>
        </w:rPr>
        <w:t>un par le personnel et l</w:t>
      </w:r>
      <w:r w:rsidR="00994BDC">
        <w:rPr>
          <w:lang w:val="fr-FR"/>
        </w:rPr>
        <w:t>’</w:t>
      </w:r>
      <w:r w:rsidR="00E16AE2" w:rsidRPr="00E16AE2">
        <w:rPr>
          <w:lang w:val="fr-FR"/>
        </w:rPr>
        <w:t>autre par l</w:t>
      </w:r>
      <w:r w:rsidR="00994BDC">
        <w:rPr>
          <w:lang w:val="fr-FR"/>
        </w:rPr>
        <w:t>’</w:t>
      </w:r>
      <w:r w:rsidR="00E16AE2" w:rsidRPr="00E16AE2">
        <w:rPr>
          <w:lang w:val="fr-FR"/>
        </w:rPr>
        <w:t>administration, et présidé par un autre éminent juriste choisi d</w:t>
      </w:r>
      <w:r w:rsidR="00994BDC">
        <w:rPr>
          <w:lang w:val="fr-FR"/>
        </w:rPr>
        <w:t>’</w:t>
      </w:r>
      <w:r w:rsidR="00E16AE2" w:rsidRPr="00E16AE2">
        <w:rPr>
          <w:lang w:val="fr-FR"/>
        </w:rPr>
        <w:t>un commun accord par les quatre autres membres.</w:t>
      </w:r>
    </w:p>
    <w:p w:rsidR="006F269D" w:rsidRDefault="006F269D" w:rsidP="00667FBB">
      <w:pPr>
        <w:pStyle w:val="SingleTxt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</w:r>
      <w:r w:rsidRPr="00E16AE2">
        <w:rPr>
          <w:lang w:val="fr-FR"/>
        </w:rPr>
        <w:t>Le Secrétaire général a nommé les nouveaux représentants et les éminents juristes externes choisis par le personnel et l</w:t>
      </w:r>
      <w:r w:rsidR="00994BDC">
        <w:rPr>
          <w:lang w:val="fr-FR"/>
        </w:rPr>
        <w:t>’</w:t>
      </w:r>
      <w:r w:rsidRPr="00E16AE2">
        <w:rPr>
          <w:lang w:val="fr-FR"/>
        </w:rPr>
        <w:t>administration respectivement pour un mandat de quatre ans commençant le 13 novembre 2016. Les membres du Conseil de justice interne ont choisi d</w:t>
      </w:r>
      <w:r w:rsidR="00994BDC">
        <w:rPr>
          <w:lang w:val="fr-FR"/>
        </w:rPr>
        <w:t>’</w:t>
      </w:r>
      <w:r w:rsidRPr="00E16AE2">
        <w:rPr>
          <w:lang w:val="fr-FR"/>
        </w:rPr>
        <w:t>un commun accord le Président, qui a ensuite été nommé par le Secrétaire général. Les membres du Conseil sont les suivants :</w:t>
      </w:r>
    </w:p>
    <w:p w:rsidR="00E16AE2" w:rsidRPr="00E16AE2" w:rsidRDefault="006F269D" w:rsidP="00DA27D5">
      <w:pPr>
        <w:pStyle w:val="SingleTxt"/>
        <w:tabs>
          <w:tab w:val="clear" w:pos="2218"/>
          <w:tab w:val="left" w:pos="1971"/>
        </w:tabs>
        <w:ind w:left="1742" w:hanging="475"/>
        <w:jc w:val="left"/>
        <w:rPr>
          <w:lang w:val="fr-FR"/>
        </w:rPr>
      </w:pPr>
      <w:r>
        <w:rPr>
          <w:lang w:val="fr-FR"/>
        </w:rPr>
        <w:tab/>
      </w:r>
      <w:r w:rsidR="00E16AE2" w:rsidRPr="00E16AE2">
        <w:rPr>
          <w:lang w:val="fr-FR"/>
        </w:rPr>
        <w:t>Carmen Artigas, éminente juriste externe nommée par le personnel (Uruguay)</w:t>
      </w:r>
      <w:r w:rsidR="00DA27D5">
        <w:rPr>
          <w:lang w:val="fr-FR"/>
        </w:rPr>
        <w:br/>
      </w:r>
      <w:r w:rsidR="00E16AE2" w:rsidRPr="00E16AE2">
        <w:rPr>
          <w:lang w:val="fr-FR"/>
        </w:rPr>
        <w:t>Frank Eppert, représentant de l</w:t>
      </w:r>
      <w:r w:rsidR="00994BDC">
        <w:rPr>
          <w:lang w:val="fr-FR"/>
        </w:rPr>
        <w:t>’</w:t>
      </w:r>
      <w:r w:rsidR="00E16AE2" w:rsidRPr="00E16AE2">
        <w:rPr>
          <w:lang w:val="fr-FR"/>
        </w:rPr>
        <w:t>administration (États-Unis d</w:t>
      </w:r>
      <w:r w:rsidR="00994BDC">
        <w:rPr>
          <w:lang w:val="fr-FR"/>
        </w:rPr>
        <w:t>’</w:t>
      </w:r>
      <w:r w:rsidR="00E16AE2" w:rsidRPr="00E16AE2">
        <w:rPr>
          <w:lang w:val="fr-FR"/>
        </w:rPr>
        <w:t>Amérique)</w:t>
      </w:r>
      <w:r w:rsidR="00DA27D5">
        <w:rPr>
          <w:lang w:val="fr-FR"/>
        </w:rPr>
        <w:br/>
      </w:r>
      <w:r w:rsidR="00E16AE2" w:rsidRPr="00E16AE2">
        <w:rPr>
          <w:lang w:val="fr-FR"/>
        </w:rPr>
        <w:t>Samuel Estreicher, éminent juriste externe nommé par l</w:t>
      </w:r>
      <w:r w:rsidR="00994BDC">
        <w:rPr>
          <w:lang w:val="fr-FR"/>
        </w:rPr>
        <w:t>’</w:t>
      </w:r>
      <w:r w:rsidR="00E16AE2" w:rsidRPr="00E16AE2">
        <w:rPr>
          <w:lang w:val="fr-FR"/>
        </w:rPr>
        <w:t>administration (États-</w:t>
      </w:r>
      <w:r w:rsidR="00DA27D5">
        <w:rPr>
          <w:lang w:val="fr-FR"/>
        </w:rPr>
        <w:tab/>
      </w:r>
      <w:r w:rsidR="00E16AE2" w:rsidRPr="00E16AE2">
        <w:rPr>
          <w:lang w:val="fr-FR"/>
        </w:rPr>
        <w:t>Unis d</w:t>
      </w:r>
      <w:r w:rsidR="00994BDC">
        <w:rPr>
          <w:lang w:val="fr-FR"/>
        </w:rPr>
        <w:t>’</w:t>
      </w:r>
      <w:r w:rsidR="00E16AE2" w:rsidRPr="00E16AE2">
        <w:rPr>
          <w:lang w:val="fr-FR"/>
        </w:rPr>
        <w:t>Amérique)</w:t>
      </w:r>
      <w:r w:rsidR="00DA27D5">
        <w:rPr>
          <w:lang w:val="fr-FR"/>
        </w:rPr>
        <w:br/>
      </w:r>
      <w:r w:rsidR="00E16AE2" w:rsidRPr="00E16AE2">
        <w:rPr>
          <w:lang w:val="fr-FR"/>
        </w:rPr>
        <w:t>Jamshid Gaziyev, représentant du personnel (Ouzbékistan)</w:t>
      </w:r>
      <w:r w:rsidR="00DA27D5">
        <w:rPr>
          <w:lang w:val="fr-FR"/>
        </w:rPr>
        <w:br/>
      </w:r>
      <w:r w:rsidR="00E16AE2" w:rsidRPr="00E16AE2">
        <w:rPr>
          <w:lang w:val="fr-FR"/>
        </w:rPr>
        <w:t>Yvonne Mokgoro, Présidente (Afrique du Sud)</w:t>
      </w:r>
    </w:p>
    <w:p w:rsidR="00E16AE2" w:rsidRPr="00E16AE2" w:rsidRDefault="006F269D" w:rsidP="006F269D">
      <w:pPr>
        <w:pStyle w:val="SingleTxt"/>
        <w:rPr>
          <w:lang w:val="fr-FR"/>
        </w:rPr>
      </w:pPr>
      <w:r>
        <w:rPr>
          <w:lang w:val="fr-FR"/>
        </w:rPr>
        <w:tab/>
      </w:r>
      <w:r w:rsidR="00E16AE2" w:rsidRPr="00E16AE2">
        <w:rPr>
          <w:lang w:val="fr-FR"/>
        </w:rPr>
        <w:t>Le mandat des membres du Conseil de justice interne expire le 12 novembre 2020.</w:t>
      </w:r>
    </w:p>
    <w:p w:rsidR="00E16AE2" w:rsidRPr="00994BDC" w:rsidRDefault="00994BDC" w:rsidP="00994BDC">
      <w:pPr>
        <w:pStyle w:val="SingleTxt"/>
        <w:spacing w:after="0" w:line="240" w:lineRule="auto"/>
        <w:rPr>
          <w:lang w:val="fr-FR"/>
        </w:rPr>
      </w:pPr>
      <w:r>
        <w:rPr>
          <w:noProof/>
          <w:w w:val="100"/>
          <w:lang w:val="en-GB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05486" wp14:editId="75D78EB0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31040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RG2QEAAAwEAAAOAAAAZHJzL2Uyb0RvYy54bWysU9uO0zAQfUfiHyy/0yTLUiBqug9dLS8I&#10;KhY+wHXGiSXfNDZN+/eMnTa7AiQEIg+OL3POzDkeb+5O1rAjYNTedbxZ1ZyBk77Xbuj4t68Pr95x&#10;FpNwvTDeQcfPEPnd9uWLzRRauPGjNz0gIxIX2yl0fEwptFUV5QhWxJUP4OhQebQi0RKHqkcxEbs1&#10;1U1dr6vJYx/QS4iRdu/nQ74t/EqBTJ+VipCY6TjVlsqIZTzksdpuRDugCKOWlzLEP1RhhXaUdKG6&#10;F0mw76h/obJaoo9epZX0tvJKaQlFA6lp6p/UPI4iQNFC5sSw2BT/H638dNwj033H15w5YemKHhMK&#10;PYyJ7bxzZKBHts4+TSG2FL5ze7ysYthjFn1SaPOf5LBT8fa8eAunxCRtvm9ub2u6AXk9qp5wAWP6&#10;AN6yPOm40S6rFq04foyJclHoNSRvG8emjr9u3r4pUdEb3T9oY/JZxOGwM8iOIl94U9OXayeGZ2G0&#10;Mo42s6JZQ5mls4GZ/wso8oSqbuYMuRthoRVSgkvNhdc4is4wRSUswPrPwEt8hkLp1L8BL4iS2bu0&#10;gK12Hn+XPZ2uJas5/urArDtbcPD9udxusYZarjh3eR65p5+vC/zpEW9/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KhN&#10;9Eb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E16AE2" w:rsidRPr="00994BDC" w:rsidSect="00E16AE2"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74B" w:rsidRDefault="0005074B" w:rsidP="00101B18">
      <w:pPr>
        <w:spacing w:line="240" w:lineRule="auto"/>
      </w:pPr>
      <w:r>
        <w:separator/>
      </w:r>
    </w:p>
  </w:endnote>
  <w:endnote w:type="continuationSeparator" w:id="0">
    <w:p w:rsidR="0005074B" w:rsidRDefault="0005074B" w:rsidP="00101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Calibri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004C0B" w:rsidTr="00004C0B">
      <w:tc>
        <w:tcPr>
          <w:tcW w:w="5028" w:type="dxa"/>
          <w:shd w:val="clear" w:color="auto" w:fill="auto"/>
        </w:tcPr>
        <w:p w:rsidR="00004C0B" w:rsidRPr="00004C0B" w:rsidRDefault="00C522D3" w:rsidP="00004C0B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A21948">
            <w:rPr>
              <w:b w:val="0"/>
              <w:w w:val="103"/>
              <w:sz w:val="14"/>
            </w:rPr>
            <w:t>17-18000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004C0B" w:rsidRPr="00004C0B" w:rsidRDefault="00004C0B" w:rsidP="00004C0B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5D6FB1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5D6FB1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004C0B" w:rsidRPr="00004C0B" w:rsidRDefault="00004C0B" w:rsidP="00004C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004C0B" w:rsidTr="00004C0B">
      <w:tc>
        <w:tcPr>
          <w:tcW w:w="5028" w:type="dxa"/>
          <w:shd w:val="clear" w:color="auto" w:fill="auto"/>
        </w:tcPr>
        <w:p w:rsidR="00004C0B" w:rsidRPr="00004C0B" w:rsidRDefault="00004C0B" w:rsidP="00004C0B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A21948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A21948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004C0B" w:rsidRPr="00004C0B" w:rsidRDefault="00004C0B" w:rsidP="00004C0B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A21948">
            <w:rPr>
              <w:b w:val="0"/>
              <w:w w:val="103"/>
              <w:sz w:val="14"/>
            </w:rPr>
            <w:t>17-18000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004C0B" w:rsidRPr="00004C0B" w:rsidRDefault="00004C0B" w:rsidP="00004C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C0B" w:rsidRDefault="00C522D3">
    <w:pPr>
      <w:pStyle w:val="Footer"/>
    </w:pPr>
    <w:r>
      <w:rPr>
        <w:rFonts w:ascii="Barcode 3 of 9 by request" w:hAnsi="Barcode 3 of 9 by request"/>
        <w:b w:val="0"/>
        <w:noProof/>
        <w:spacing w:val="0"/>
        <w:w w:val="100"/>
        <w:sz w:val="24"/>
        <w:lang w:val="en-GB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5532120</wp:posOffset>
          </wp:positionH>
          <wp:positionV relativeFrom="paragraph">
            <wp:posOffset>-210185</wp:posOffset>
          </wp:positionV>
          <wp:extent cx="694690" cy="694690"/>
          <wp:effectExtent l="0" t="0" r="0" b="0"/>
          <wp:wrapNone/>
          <wp:docPr id="4" name="Picture 4" descr="https://undocs.org/m2/QRCode2.ashx?DS=ST/IC/2017/31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2.ashx?DS=ST/IC/2017/31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758"/>
      <w:gridCol w:w="5028"/>
    </w:tblGrid>
    <w:tr w:rsidR="00004C0B" w:rsidTr="00004C0B">
      <w:tc>
        <w:tcPr>
          <w:tcW w:w="3758" w:type="dxa"/>
        </w:tcPr>
        <w:p w:rsidR="00004C0B" w:rsidRDefault="00004C0B" w:rsidP="00004C0B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A21948">
            <w:rPr>
              <w:b w:val="0"/>
              <w:sz w:val="20"/>
            </w:rPr>
            <w:t>17-18000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1</w:t>
          </w:r>
          <w:r w:rsidR="00DA27D5">
            <w:rPr>
              <w:b w:val="0"/>
              <w:sz w:val="20"/>
            </w:rPr>
            <w:t>6</w:t>
          </w:r>
          <w:r>
            <w:rPr>
              <w:b w:val="0"/>
              <w:sz w:val="20"/>
            </w:rPr>
            <w:t>1017    1</w:t>
          </w:r>
          <w:r w:rsidR="00DA27D5">
            <w:rPr>
              <w:b w:val="0"/>
              <w:sz w:val="20"/>
            </w:rPr>
            <w:t>7</w:t>
          </w:r>
          <w:r>
            <w:rPr>
              <w:b w:val="0"/>
              <w:sz w:val="20"/>
            </w:rPr>
            <w:t>1017</w:t>
          </w:r>
        </w:p>
        <w:p w:rsidR="00004C0B" w:rsidRPr="00C522D3" w:rsidRDefault="00C522D3" w:rsidP="00C522D3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*1718000*</w:t>
          </w:r>
        </w:p>
      </w:tc>
      <w:tc>
        <w:tcPr>
          <w:tcW w:w="5028" w:type="dxa"/>
        </w:tcPr>
        <w:p w:rsidR="00004C0B" w:rsidRDefault="00004C0B" w:rsidP="00004C0B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zh-CN"/>
            </w:rPr>
            <w:drawing>
              <wp:inline distT="0" distB="0" distL="0" distR="0" wp14:anchorId="017F6593" wp14:editId="0F686CB5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4C0B" w:rsidRPr="00004C0B" w:rsidRDefault="00004C0B" w:rsidP="00004C0B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74B" w:rsidRPr="006F269D" w:rsidRDefault="006F269D" w:rsidP="006F269D">
      <w:pPr>
        <w:pStyle w:val="Footer"/>
        <w:spacing w:after="80"/>
        <w:ind w:left="792"/>
        <w:rPr>
          <w:sz w:val="16"/>
        </w:rPr>
      </w:pPr>
      <w:r w:rsidRPr="006F269D">
        <w:rPr>
          <w:sz w:val="16"/>
        </w:rPr>
        <w:t>__________________</w:t>
      </w:r>
    </w:p>
  </w:footnote>
  <w:footnote w:type="continuationSeparator" w:id="0">
    <w:p w:rsidR="0005074B" w:rsidRPr="006F269D" w:rsidRDefault="006F269D" w:rsidP="006F269D">
      <w:pPr>
        <w:pStyle w:val="Footer"/>
        <w:spacing w:after="80"/>
        <w:ind w:left="792"/>
        <w:rPr>
          <w:sz w:val="16"/>
        </w:rPr>
      </w:pPr>
      <w:r w:rsidRPr="006F269D">
        <w:rPr>
          <w:sz w:val="16"/>
        </w:rPr>
        <w:t>__________________</w:t>
      </w:r>
    </w:p>
  </w:footnote>
  <w:footnote w:id="1">
    <w:p w:rsidR="00E16AE2" w:rsidRPr="0001113D" w:rsidRDefault="00E16AE2" w:rsidP="006F269D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jc w:val="both"/>
        <w:rPr>
          <w:lang w:val="fr-FR"/>
        </w:rPr>
      </w:pPr>
      <w:r>
        <w:rPr>
          <w:lang w:val="fr-FR"/>
        </w:rPr>
        <w:tab/>
      </w:r>
      <w:r>
        <w:rPr>
          <w:rStyle w:val="FootnoteReference"/>
        </w:rPr>
        <w:footnoteRef/>
      </w:r>
      <w:r>
        <w:rPr>
          <w:lang w:val="fr-FR"/>
        </w:rPr>
        <w:tab/>
        <w:t>A</w:t>
      </w:r>
      <w:r w:rsidRPr="0001113D">
        <w:rPr>
          <w:lang w:val="fr-FR"/>
        </w:rPr>
        <w:t>près avoir examiné les rapports</w:t>
      </w:r>
      <w:r>
        <w:rPr>
          <w:lang w:val="fr-FR"/>
        </w:rPr>
        <w:t xml:space="preserve"> </w:t>
      </w:r>
      <w:r w:rsidRPr="0001113D">
        <w:rPr>
          <w:lang w:val="fr-FR"/>
        </w:rPr>
        <w:t>du Conseil de justice interne</w:t>
      </w:r>
      <w:r>
        <w:rPr>
          <w:lang w:val="fr-FR"/>
        </w:rPr>
        <w:t xml:space="preserve"> contenant le projet de code de conduite des juges </w:t>
      </w:r>
      <w:r>
        <w:t>(</w:t>
      </w:r>
      <w:hyperlink r:id="rId1" w:history="1">
        <w:r w:rsidRPr="00667FBB">
          <w:rPr>
            <w:rStyle w:val="Hyperlink"/>
          </w:rPr>
          <w:t>A/65/86</w:t>
        </w:r>
      </w:hyperlink>
      <w:r>
        <w:t xml:space="preserve"> et </w:t>
      </w:r>
      <w:hyperlink r:id="rId2" w:history="1">
        <w:r w:rsidRPr="00667FBB">
          <w:rPr>
            <w:rStyle w:val="Hyperlink"/>
          </w:rPr>
          <w:t>A/66/158</w:t>
        </w:r>
      </w:hyperlink>
      <w:r>
        <w:t>)</w:t>
      </w:r>
      <w:r w:rsidRPr="0001113D">
        <w:rPr>
          <w:lang w:val="fr-FR"/>
        </w:rPr>
        <w:t>,</w:t>
      </w:r>
      <w:r>
        <w:rPr>
          <w:lang w:val="fr-FR"/>
        </w:rPr>
        <w:t xml:space="preserve"> </w:t>
      </w:r>
      <w:r w:rsidRPr="0001113D">
        <w:rPr>
          <w:lang w:val="fr-FR"/>
        </w:rPr>
        <w:t>l</w:t>
      </w:r>
      <w:r w:rsidR="00994BDC">
        <w:rPr>
          <w:lang w:val="fr-FR"/>
        </w:rPr>
        <w:t>’</w:t>
      </w:r>
      <w:r w:rsidRPr="0001113D">
        <w:rPr>
          <w:lang w:val="fr-FR"/>
        </w:rPr>
        <w:t>Assemblée générale a approuvé</w:t>
      </w:r>
      <w:r>
        <w:rPr>
          <w:lang w:val="fr-FR"/>
        </w:rPr>
        <w:t xml:space="preserve">, dans </w:t>
      </w:r>
      <w:r w:rsidRPr="00D155D4">
        <w:rPr>
          <w:lang w:val="fr-FR"/>
        </w:rPr>
        <w:t>la résolution 66/106</w:t>
      </w:r>
      <w:r>
        <w:rPr>
          <w:lang w:val="fr-FR"/>
        </w:rPr>
        <w:t xml:space="preserve">, </w:t>
      </w:r>
      <w:r w:rsidRPr="0001113D">
        <w:rPr>
          <w:lang w:val="fr-FR"/>
        </w:rPr>
        <w:t>le Code de déontologie judiciaire à l</w:t>
      </w:r>
      <w:r w:rsidR="00994BDC">
        <w:rPr>
          <w:lang w:val="fr-FR"/>
        </w:rPr>
        <w:t>’</w:t>
      </w:r>
      <w:r w:rsidRPr="0001113D">
        <w:rPr>
          <w:lang w:val="fr-FR"/>
        </w:rPr>
        <w:t>usage des membres du Tribunal du contentieux administrati</w:t>
      </w:r>
      <w:r>
        <w:rPr>
          <w:lang w:val="fr-FR"/>
        </w:rPr>
        <w:t>f</w:t>
      </w:r>
      <w:r w:rsidRPr="0001113D">
        <w:rPr>
          <w:lang w:val="fr-FR"/>
        </w:rPr>
        <w:t xml:space="preserve"> des Nations Unies et du Tribunal d</w:t>
      </w:r>
      <w:r w:rsidR="00994BDC">
        <w:rPr>
          <w:lang w:val="fr-FR"/>
        </w:rPr>
        <w:t>’</w:t>
      </w:r>
      <w:r w:rsidRPr="0001113D">
        <w:rPr>
          <w:lang w:val="fr-FR"/>
        </w:rPr>
        <w:t xml:space="preserve">appel des Nations Unies. </w:t>
      </w:r>
    </w:p>
  </w:footnote>
  <w:footnote w:id="2">
    <w:p w:rsidR="00E16AE2" w:rsidRPr="0001113D" w:rsidRDefault="00E16AE2" w:rsidP="006F269D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jc w:val="both"/>
        <w:rPr>
          <w:lang w:val="fr-FR"/>
        </w:rPr>
      </w:pPr>
      <w:r>
        <w:rPr>
          <w:lang w:val="fr-FR"/>
        </w:rPr>
        <w:tab/>
      </w:r>
      <w:r>
        <w:rPr>
          <w:rStyle w:val="FootnoteReference"/>
        </w:rPr>
        <w:footnoteRef/>
      </w:r>
      <w:r>
        <w:rPr>
          <w:lang w:val="fr-FR"/>
        </w:rPr>
        <w:tab/>
      </w:r>
      <w:r w:rsidRPr="0001113D">
        <w:rPr>
          <w:lang w:val="fr-FR"/>
        </w:rPr>
        <w:t>Voir,</w:t>
      </w:r>
      <w:r>
        <w:rPr>
          <w:lang w:val="fr-FR"/>
        </w:rPr>
        <w:t xml:space="preserve"> par exemple</w:t>
      </w:r>
      <w:r w:rsidRPr="0001113D">
        <w:rPr>
          <w:lang w:val="fr-FR"/>
        </w:rPr>
        <w:t xml:space="preserve"> le paragraphe 45 de la résolution 71/266, le paragraphe 42 de la résolution</w:t>
      </w:r>
      <w:r w:rsidRPr="005D6FB1">
        <w:rPr>
          <w:lang w:val="fr-FR"/>
        </w:rPr>
        <w:t xml:space="preserve"> 70/112, le paragraphe 47 de la résolution 69/203, le paragraphe 39 de la résolution 68/254, les paragraphes 42 et 57 de la résolution 67/241 et le paragraphe 45 de la résolution 66/237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6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004C0B" w:rsidTr="00004C0B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004C0B" w:rsidRPr="00004C0B" w:rsidRDefault="00C522D3" w:rsidP="00004C0B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"Symbol1" \* MERGEFORMAT </w:instrText>
          </w:r>
          <w:r>
            <w:rPr>
              <w:b/>
              <w:color w:val="000000"/>
            </w:rPr>
            <w:fldChar w:fldCharType="separate"/>
          </w:r>
          <w:r w:rsidR="00A21948">
            <w:rPr>
              <w:b/>
              <w:color w:val="000000"/>
            </w:rPr>
            <w:t>ST/IC/2017/31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004C0B" w:rsidRDefault="00004C0B" w:rsidP="00004C0B">
          <w:pPr>
            <w:pStyle w:val="Header"/>
          </w:pPr>
        </w:p>
      </w:tc>
    </w:tr>
  </w:tbl>
  <w:p w:rsidR="00004C0B" w:rsidRPr="00004C0B" w:rsidRDefault="00004C0B" w:rsidP="00004C0B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6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004C0B" w:rsidTr="00004C0B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004C0B" w:rsidRDefault="00004C0B" w:rsidP="00004C0B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004C0B" w:rsidRPr="00004C0B" w:rsidRDefault="00004C0B" w:rsidP="00004C0B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A21948">
            <w:rPr>
              <w:b/>
              <w:color w:val="000000"/>
            </w:rPr>
            <w:t>ST/IC/2017/31</w:t>
          </w:r>
          <w:r>
            <w:rPr>
              <w:b/>
              <w:color w:val="000000"/>
            </w:rPr>
            <w:fldChar w:fldCharType="end"/>
          </w:r>
        </w:p>
      </w:tc>
    </w:tr>
  </w:tbl>
  <w:p w:rsidR="00004C0B" w:rsidRPr="00004C0B" w:rsidRDefault="00004C0B" w:rsidP="00004C0B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68"/>
      <w:gridCol w:w="12"/>
    </w:tblGrid>
    <w:tr w:rsidR="00004C0B" w:rsidTr="00004C0B">
      <w:trPr>
        <w:gridAfter w:val="1"/>
        <w:wAfter w:w="12" w:type="dxa"/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04C0B" w:rsidRDefault="00004C0B" w:rsidP="00004C0B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04C0B" w:rsidRPr="00004C0B" w:rsidRDefault="00004C0B" w:rsidP="00004C0B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04C0B" w:rsidRDefault="00004C0B" w:rsidP="00004C0B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004C0B" w:rsidRPr="00C522D3" w:rsidRDefault="00C522D3" w:rsidP="00C522D3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/IC/2017/31</w:t>
          </w:r>
        </w:p>
      </w:tc>
    </w:tr>
    <w:tr w:rsidR="00004C0B" w:rsidRPr="00004C0B" w:rsidTr="00004C0B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04C0B" w:rsidRPr="00004C0B" w:rsidRDefault="00004C0B" w:rsidP="00004C0B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zh-CN"/>
            </w:rPr>
            <w:drawing>
              <wp:inline distT="0" distB="0" distL="0" distR="0" wp14:anchorId="717C34C3" wp14:editId="45010B95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04C0B" w:rsidRPr="00004C0B" w:rsidRDefault="00004C0B" w:rsidP="00004C0B">
          <w:pPr>
            <w:pStyle w:val="XLarge"/>
            <w:spacing w:before="109"/>
          </w:pP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04C0B" w:rsidRPr="00004C0B" w:rsidRDefault="00004C0B" w:rsidP="00004C0B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04C0B" w:rsidRDefault="00004C0B" w:rsidP="00004C0B">
          <w:pPr>
            <w:pStyle w:val="Publication"/>
            <w:spacing w:before="400"/>
            <w:rPr>
              <w:color w:val="000000"/>
            </w:rPr>
          </w:pPr>
          <w:r>
            <w:rPr>
              <w:color w:val="000000"/>
            </w:rPr>
            <w:t>17 octobre 2017</w:t>
          </w:r>
        </w:p>
        <w:p w:rsidR="00004C0B" w:rsidRDefault="00004C0B" w:rsidP="00004C0B">
          <w:pPr>
            <w:rPr>
              <w:lang w:val="en-US"/>
            </w:rPr>
          </w:pPr>
          <w:r>
            <w:rPr>
              <w:lang w:val="en-US"/>
            </w:rPr>
            <w:t>Français</w:t>
          </w:r>
        </w:p>
        <w:p w:rsidR="00004C0B" w:rsidRPr="00004C0B" w:rsidRDefault="00004C0B" w:rsidP="00004C0B">
          <w:pPr>
            <w:pStyle w:val="Original"/>
            <w:rPr>
              <w:color w:val="000000"/>
            </w:rPr>
          </w:pPr>
          <w:r>
            <w:rPr>
              <w:color w:val="000000"/>
            </w:rPr>
            <w:t>Original : anglais</w:t>
          </w:r>
        </w:p>
      </w:tc>
    </w:tr>
  </w:tbl>
  <w:p w:rsidR="00004C0B" w:rsidRPr="00004C0B" w:rsidRDefault="00004C0B" w:rsidP="00004C0B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67005"/>
    <w:multiLevelType w:val="singleLevel"/>
    <w:tmpl w:val="A162A0FA"/>
    <w:lvl w:ilvl="0">
      <w:start w:val="2"/>
      <w:numFmt w:val="decimal"/>
      <w:lvlRestart w:val="0"/>
      <w:lvlText w:val="%1."/>
      <w:lvlJc w:val="left"/>
      <w:pPr>
        <w:tabs>
          <w:tab w:val="num" w:pos="1742"/>
        </w:tabs>
        <w:ind w:left="1267" w:firstLine="0"/>
      </w:pPr>
      <w:rPr>
        <w:rFonts w:ascii="Times New Roman" w:hAnsi="Times New Roman" w:hint="default"/>
        <w:b w:val="0"/>
        <w:i w:val="0"/>
        <w:w w:val="100"/>
      </w:rPr>
    </w:lvl>
  </w:abstractNum>
  <w:abstractNum w:abstractNumId="4" w15:restartNumberingAfterBreak="0">
    <w:nsid w:val="41BB5B48"/>
    <w:multiLevelType w:val="singleLevel"/>
    <w:tmpl w:val="A8462FC6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abstractNum w:abstractNumId="5" w15:restartNumberingAfterBreak="0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3"/>
  </w:num>
  <w:num w:numId="1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475"/>
  <w:doNotHyphenateCaps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1718000"/>
    <w:docVar w:name="CreationDt" w:val="17/10/2017 09:27:13"/>
    <w:docVar w:name="DocCategory" w:val="Doc"/>
    <w:docVar w:name="DocType" w:val="Final"/>
    <w:docVar w:name="DutyStation" w:val="New York"/>
    <w:docVar w:name="FooterJN" w:val="17-18000"/>
    <w:docVar w:name="jobn" w:val="17-18000 (F)"/>
    <w:docVar w:name="jobnDT" w:val="17-18000 (F)   171017   "/>
    <w:docVar w:name="jobnDTDT" w:val="17-18000 (F)   171017   171017"/>
    <w:docVar w:name="JobNo" w:val="1718000F"/>
    <w:docVar w:name="JobNo2" w:val="17st/icF"/>
    <w:docVar w:name="LocalDrive" w:val="0"/>
    <w:docVar w:name="OandT" w:val="Claire/M-P.C."/>
    <w:docVar w:name="sss1" w:val="ST/IC/2017/31"/>
    <w:docVar w:name="sss2" w:val="-"/>
    <w:docVar w:name="SuppJobNo" w:val="17-18000"/>
    <w:docVar w:name="Symbol1" w:val="ST/IC/2017/31"/>
    <w:docVar w:name="Symbol2" w:val="-"/>
  </w:docVars>
  <w:rsids>
    <w:rsidRoot w:val="0005074B"/>
    <w:rsid w:val="00004C0B"/>
    <w:rsid w:val="000330D5"/>
    <w:rsid w:val="0005074B"/>
    <w:rsid w:val="00101B18"/>
    <w:rsid w:val="00160397"/>
    <w:rsid w:val="00166A0D"/>
    <w:rsid w:val="001E4B50"/>
    <w:rsid w:val="002478A0"/>
    <w:rsid w:val="00356F24"/>
    <w:rsid w:val="003A0256"/>
    <w:rsid w:val="00440C93"/>
    <w:rsid w:val="004623DC"/>
    <w:rsid w:val="00480B84"/>
    <w:rsid w:val="004C1A25"/>
    <w:rsid w:val="00593F7C"/>
    <w:rsid w:val="005D6FB1"/>
    <w:rsid w:val="00667FBB"/>
    <w:rsid w:val="006F269D"/>
    <w:rsid w:val="007263D3"/>
    <w:rsid w:val="007531A5"/>
    <w:rsid w:val="00771C9E"/>
    <w:rsid w:val="007962FE"/>
    <w:rsid w:val="0082045E"/>
    <w:rsid w:val="00905F84"/>
    <w:rsid w:val="0093341B"/>
    <w:rsid w:val="00993CB7"/>
    <w:rsid w:val="00994BDC"/>
    <w:rsid w:val="00A04D4F"/>
    <w:rsid w:val="00A21948"/>
    <w:rsid w:val="00AD5F2F"/>
    <w:rsid w:val="00B858D5"/>
    <w:rsid w:val="00C16F1A"/>
    <w:rsid w:val="00C522D3"/>
    <w:rsid w:val="00C708CE"/>
    <w:rsid w:val="00CB06FB"/>
    <w:rsid w:val="00CB63C5"/>
    <w:rsid w:val="00DA27D5"/>
    <w:rsid w:val="00DC1F9F"/>
    <w:rsid w:val="00E16AE2"/>
    <w:rsid w:val="00E343A6"/>
    <w:rsid w:val="00E66C35"/>
    <w:rsid w:val="00E7105F"/>
    <w:rsid w:val="00E73ECD"/>
    <w:rsid w:val="00ED69D7"/>
    <w:rsid w:val="00EF2DFA"/>
    <w:rsid w:val="00F224BD"/>
    <w:rsid w:val="00F5012D"/>
    <w:rsid w:val="00F64A16"/>
    <w:rsid w:val="00F73093"/>
    <w:rsid w:val="00FA3D05"/>
    <w:rsid w:val="00FA5CC9"/>
    <w:rsid w:val="00FC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0371E13-11B7-43C3-97FE-3729925A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C1F9F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1F9F"/>
    <w:pPr>
      <w:numPr>
        <w:numId w:val="16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1F9F"/>
    <w:pPr>
      <w:numPr>
        <w:ilvl w:val="1"/>
        <w:numId w:val="16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1F9F"/>
    <w:pPr>
      <w:numPr>
        <w:ilvl w:val="2"/>
        <w:numId w:val="16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C1F9F"/>
    <w:pPr>
      <w:keepNext/>
      <w:keepLines/>
      <w:numPr>
        <w:ilvl w:val="3"/>
        <w:numId w:val="16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C1F9F"/>
    <w:pPr>
      <w:keepNext/>
      <w:keepLines/>
      <w:numPr>
        <w:ilvl w:val="4"/>
        <w:numId w:val="16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C1F9F"/>
    <w:pPr>
      <w:keepNext/>
      <w:keepLines/>
      <w:numPr>
        <w:ilvl w:val="5"/>
        <w:numId w:val="16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DC1F9F"/>
    <w:pPr>
      <w:keepNext/>
      <w:keepLines/>
      <w:numPr>
        <w:ilvl w:val="6"/>
        <w:numId w:val="16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1F9F"/>
    <w:pPr>
      <w:keepNext/>
      <w:keepLines/>
      <w:numPr>
        <w:ilvl w:val="7"/>
        <w:numId w:val="16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1F9F"/>
    <w:pPr>
      <w:keepNext/>
      <w:keepLines/>
      <w:numPr>
        <w:ilvl w:val="8"/>
        <w:numId w:val="16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DC1F9F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DC1F9F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DC1F9F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DC1F9F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DC1F9F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DC1F9F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DC1F9F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DC1F9F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DC1F9F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DC1F9F"/>
    <w:pPr>
      <w:ind w:left="1267" w:right="1267"/>
    </w:pPr>
  </w:style>
  <w:style w:type="paragraph" w:customStyle="1" w:styleId="SingleTxt">
    <w:name w:val="__Single Txt"/>
    <w:basedOn w:val="Normal"/>
    <w:qFormat/>
    <w:rsid w:val="00DC1F9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DC1F9F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Normal"/>
    <w:next w:val="Normal"/>
    <w:qFormat/>
    <w:rsid w:val="00DC1F9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TitleH1"/>
    <w:next w:val="Normal"/>
    <w:qFormat/>
    <w:rsid w:val="00DC1F9F"/>
    <w:pPr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F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1F9F"/>
    <w:rPr>
      <w:rFonts w:ascii="Tahoma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DC1F9F"/>
    <w:pPr>
      <w:numPr>
        <w:numId w:val="5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DC1F9F"/>
    <w:pPr>
      <w:numPr>
        <w:numId w:val="6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DC1F9F"/>
    <w:pPr>
      <w:numPr>
        <w:numId w:val="7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DC1F9F"/>
    <w:pPr>
      <w:spacing w:before="240"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DC1F9F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1F9F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C1F9F"/>
    <w:rPr>
      <w:rFonts w:ascii="Times New Roman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uiPriority w:val="99"/>
    <w:qFormat/>
    <w:rsid w:val="00DC1F9F"/>
    <w:pPr>
      <w:tabs>
        <w:tab w:val="center" w:pos="4320"/>
        <w:tab w:val="right" w:pos="8640"/>
      </w:tabs>
      <w:spacing w:after="0" w:line="210" w:lineRule="exact"/>
    </w:pPr>
    <w:rPr>
      <w:rFonts w:ascii="Times New Roman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DC1F9F"/>
    <w:rPr>
      <w:rFonts w:ascii="Times New Roman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uiPriority w:val="99"/>
    <w:semiHidden/>
    <w:rsid w:val="00DC1F9F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DC1F9F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DC1F9F"/>
    <w:rPr>
      <w:rFonts w:ascii="Times New Roman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uiPriority w:val="99"/>
    <w:rsid w:val="00DC1F9F"/>
    <w:pPr>
      <w:tabs>
        <w:tab w:val="center" w:pos="4320"/>
        <w:tab w:val="right" w:pos="8640"/>
      </w:tabs>
      <w:spacing w:after="0" w:line="210" w:lineRule="exact"/>
    </w:pPr>
    <w:rPr>
      <w:rFonts w:ascii="Times New Roman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DC1F9F"/>
    <w:rPr>
      <w:rFonts w:ascii="Times New Roman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DC1F9F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DC1F9F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DC1F9F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DC1F9F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DC1F9F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DC1F9F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DC1F9F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DC1F9F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DC1F9F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uiPriority w:val="99"/>
    <w:qFormat/>
    <w:rsid w:val="00DC1F9F"/>
    <w:rPr>
      <w:sz w:val="14"/>
    </w:rPr>
  </w:style>
  <w:style w:type="paragraph" w:styleId="ListParagraph">
    <w:name w:val="List Paragraph"/>
    <w:basedOn w:val="Normal"/>
    <w:uiPriority w:val="34"/>
    <w:rsid w:val="00DC1F9F"/>
    <w:pPr>
      <w:ind w:left="720"/>
      <w:contextualSpacing/>
    </w:pPr>
  </w:style>
  <w:style w:type="paragraph" w:styleId="NoSpacing">
    <w:name w:val="No Spacing"/>
    <w:uiPriority w:val="1"/>
    <w:rsid w:val="00DC1F9F"/>
    <w:pPr>
      <w:spacing w:after="0" w:line="240" w:lineRule="auto"/>
    </w:pPr>
    <w:rPr>
      <w:rFonts w:ascii="Calibr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DC1F9F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DC1F9F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DC1F9F"/>
    <w:pPr>
      <w:spacing w:after="0" w:line="240" w:lineRule="auto"/>
    </w:pPr>
    <w:rPr>
      <w:rFonts w:ascii="Times New Roman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DC1F9F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DC1F9F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DC1F9F"/>
    <w:rPr>
      <w:b/>
      <w:bCs/>
    </w:rPr>
  </w:style>
  <w:style w:type="paragraph" w:customStyle="1" w:styleId="Style1">
    <w:name w:val="Style1"/>
    <w:basedOn w:val="Normal"/>
    <w:qFormat/>
    <w:rsid w:val="00DC1F9F"/>
  </w:style>
  <w:style w:type="paragraph" w:customStyle="1" w:styleId="Style2">
    <w:name w:val="Style2"/>
    <w:basedOn w:val="Normal"/>
    <w:autoRedefine/>
    <w:qFormat/>
    <w:rsid w:val="00DC1F9F"/>
  </w:style>
  <w:style w:type="paragraph" w:customStyle="1" w:styleId="TitleHCH">
    <w:name w:val="Title_H_CH"/>
    <w:basedOn w:val="HCH"/>
    <w:next w:val="SingleTxt"/>
    <w:qFormat/>
    <w:rsid w:val="00DC1F9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1"/>
    <w:next w:val="Normal"/>
    <w:qFormat/>
    <w:rsid w:val="00DC1F9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ind w:left="1267" w:right="1267" w:hanging="1267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DC1F9F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2478A0"/>
    <w:rPr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004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4C0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4C0B"/>
    <w:rPr>
      <w:rFonts w:ascii="Times New Roman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C0B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  <w:style w:type="character" w:styleId="Hyperlink">
    <w:name w:val="Hyperlink"/>
    <w:basedOn w:val="DefaultParagraphFont"/>
    <w:uiPriority w:val="99"/>
    <w:unhideWhenUsed/>
    <w:rsid w:val="00667FBB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67FBB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ndocs.org/fr/ST/IC/2013/16" TargetMode="External"/><Relationship Id="rId18" Type="http://schemas.openxmlformats.org/officeDocument/2006/relationships/hyperlink" Target="https://undocs.org/fr/A/RES/62/228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undocs.org/fr/A/RES/66/237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docs.org/fr/A/RES/63/25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undocs.org/fr/A/RES/62/228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undocs.org/fr/A/RES/62/228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undocs.org/fr/A/66/158" TargetMode="External"/><Relationship Id="rId1" Type="http://schemas.openxmlformats.org/officeDocument/2006/relationships/hyperlink" Target="https://undocs.org/fr/A/65/86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Diana Guiu</cp:lastModifiedBy>
  <cp:revision>2</cp:revision>
  <cp:lastPrinted>2017-10-17T15:08:00Z</cp:lastPrinted>
  <dcterms:created xsi:type="dcterms:W3CDTF">2017-10-18T13:42:00Z</dcterms:created>
  <dcterms:modified xsi:type="dcterms:W3CDTF">2017-10-18T13:42:00Z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SRefJobNo">
    <vt:lpwstr>1732256F</vt:lpwstr>
  </property>
  <property fmtid="{D5CDD505-2E9C-101B-9397-08002B2CF9AE}" pid="3" name="Symbol2">
    <vt:lpwstr/>
  </property>
  <property fmtid="{D5CDD505-2E9C-101B-9397-08002B2CF9AE}" pid="4" name="Translator">
    <vt:lpwstr>M-P.C.</vt:lpwstr>
  </property>
  <property fmtid="{D5CDD505-2E9C-101B-9397-08002B2CF9AE}" pid="5" name="Operator">
    <vt:lpwstr>Claire</vt:lpwstr>
  </property>
  <property fmtid="{D5CDD505-2E9C-101B-9397-08002B2CF9AE}" pid="6" name="DraftPages">
    <vt:lpwstr> </vt:lpwstr>
  </property>
  <property fmtid="{D5CDD505-2E9C-101B-9397-08002B2CF9AE}" pid="7" name="Comment">
    <vt:lpwstr/>
  </property>
  <property fmtid="{D5CDD505-2E9C-101B-9397-08002B2CF9AE}" pid="8" name="Category">
    <vt:lpwstr>Document</vt:lpwstr>
  </property>
  <property fmtid="{D5CDD505-2E9C-101B-9397-08002B2CF9AE}" pid="9" name="Language">
    <vt:lpwstr>French</vt:lpwstr>
  </property>
  <property fmtid="{D5CDD505-2E9C-101B-9397-08002B2CF9AE}" pid="10" name="Publication Date">
    <vt:lpwstr>17 octobre 2017</vt:lpwstr>
  </property>
  <property fmtid="{D5CDD505-2E9C-101B-9397-08002B2CF9AE}" pid="11" name="Release Date">
    <vt:lpwstr/>
  </property>
  <property fmtid="{D5CDD505-2E9C-101B-9397-08002B2CF9AE}" pid="12" name="Title1">
    <vt:lpwstr>		Circulaire*</vt:lpwstr>
  </property>
  <property fmtid="{D5CDD505-2E9C-101B-9397-08002B2CF9AE}" pid="13" name="Title2">
    <vt:lpwstr>		Mandat du Conseil de justice interne</vt:lpwstr>
  </property>
  <property fmtid="{D5CDD505-2E9C-101B-9397-08002B2CF9AE}" pid="14" name="Symbol1">
    <vt:lpwstr>ST/IC/2017/31</vt:lpwstr>
  </property>
  <property fmtid="{D5CDD505-2E9C-101B-9397-08002B2CF9AE}" pid="15" name="JobNo">
    <vt:lpwstr>1718000F</vt:lpwstr>
  </property>
</Properties>
</file>