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FF" w:rsidRPr="009D0624" w:rsidRDefault="005477FF" w:rsidP="005477FF">
      <w:pPr>
        <w:spacing w:line="240" w:lineRule="auto"/>
        <w:rPr>
          <w:sz w:val="2"/>
        </w:rPr>
        <w:sectPr w:rsidR="005477FF" w:rsidRPr="009D0624" w:rsidSect="009D06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08"/>
          <w:titlePg/>
          <w:docGrid w:linePitch="360"/>
        </w:sectPr>
      </w:pPr>
      <w:bookmarkStart w:id="0" w:name="_GoBack"/>
      <w:bookmarkEnd w:id="0"/>
    </w:p>
    <w:p w:rsidR="009D0624" w:rsidRPr="009D0624" w:rsidRDefault="009D0624" w:rsidP="009D0624">
      <w:pPr>
        <w:framePr w:w="9792" w:h="432" w:hSpace="180" w:wrap="around" w:vAnchor="page" w:hAnchor="page" w:x="1210" w:y="1375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40" w:lineRule="auto"/>
        <w:ind w:left="1267" w:right="1260" w:hanging="576"/>
        <w:rPr>
          <w:sz w:val="17"/>
        </w:rPr>
      </w:pPr>
      <w:r w:rsidRPr="009D0624">
        <w:rPr>
          <w:spacing w:val="5"/>
          <w:sz w:val="17"/>
          <w:szCs w:val="20"/>
        </w:rPr>
        <w:tab/>
        <w:t>*</w:t>
      </w:r>
      <w:r w:rsidRPr="009D0624">
        <w:rPr>
          <w:spacing w:val="5"/>
          <w:sz w:val="17"/>
          <w:szCs w:val="20"/>
        </w:rPr>
        <w:tab/>
        <w:t xml:space="preserve">La présente circulaire, qui annule et remplace la circulaire </w:t>
      </w:r>
      <w:hyperlink r:id="rId13" w:history="1">
        <w:r w:rsidRPr="009D0624">
          <w:rPr>
            <w:rStyle w:val="Hyperlink"/>
            <w:spacing w:val="5"/>
            <w:sz w:val="17"/>
            <w:szCs w:val="20"/>
          </w:rPr>
          <w:t>ST/IC/2015/25</w:t>
        </w:r>
      </w:hyperlink>
      <w:r w:rsidRPr="009D0624">
        <w:rPr>
          <w:spacing w:val="5"/>
          <w:sz w:val="17"/>
          <w:szCs w:val="20"/>
        </w:rPr>
        <w:t>, restera en vigueur jusqu’à nouvel ordre.</w:t>
      </w:r>
      <w:r w:rsidRPr="009D0624">
        <w:rPr>
          <w:noProof/>
          <w:w w:val="100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3B936" wp14:editId="38B52F39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1DB1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9D0624" w:rsidRPr="009D0624" w:rsidRDefault="009D0624" w:rsidP="009D0624">
      <w:pPr>
        <w:pStyle w:val="HCH"/>
        <w:ind w:left="1310"/>
      </w:pPr>
      <w:r w:rsidRPr="009D0624">
        <w:t>Circulaire</w:t>
      </w:r>
      <w:r w:rsidRPr="009D0624">
        <w:rPr>
          <w:b w:val="0"/>
          <w:sz w:val="20"/>
          <w:szCs w:val="20"/>
        </w:rPr>
        <w:t>*</w:t>
      </w:r>
    </w:p>
    <w:p w:rsidR="009D0624" w:rsidRPr="009D0624" w:rsidRDefault="009D0624" w:rsidP="009D0624">
      <w:pPr>
        <w:pStyle w:val="HCH"/>
        <w:ind w:left="1310"/>
      </w:pPr>
    </w:p>
    <w:p w:rsidR="009D0624" w:rsidRPr="009D0624" w:rsidRDefault="009D0624" w:rsidP="009D0624">
      <w:pPr>
        <w:tabs>
          <w:tab w:val="right" w:pos="1166"/>
          <w:tab w:val="left" w:pos="1310"/>
        </w:tabs>
        <w:ind w:left="1310" w:hanging="1310"/>
      </w:pPr>
      <w:r w:rsidRPr="009D0624">
        <w:tab/>
      </w:r>
      <w:r w:rsidRPr="009D0624">
        <w:tab/>
        <w:t>Circulaire de la Sous-Secrétaire générale à la gestion des ressources humaines</w:t>
      </w:r>
    </w:p>
    <w:p w:rsidR="005477FF" w:rsidRPr="009D0624" w:rsidRDefault="005477FF" w:rsidP="009D0624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:rsidR="009D0624" w:rsidRPr="009D0624" w:rsidRDefault="009D0624" w:rsidP="009D0624">
      <w:pPr>
        <w:tabs>
          <w:tab w:val="right" w:pos="1166"/>
          <w:tab w:val="left" w:pos="1310"/>
        </w:tabs>
        <w:ind w:left="1310" w:hanging="1310"/>
      </w:pPr>
      <w:r w:rsidRPr="009D0624">
        <w:tab/>
        <w:t>Destinataires :</w:t>
      </w:r>
      <w:r w:rsidRPr="009D0624">
        <w:tab/>
        <w:t>Les fonctionnaires du Secrétariat</w:t>
      </w:r>
    </w:p>
    <w:p w:rsidR="009D0624" w:rsidRPr="009D0624" w:rsidRDefault="009D0624" w:rsidP="009D0624">
      <w:pPr>
        <w:tabs>
          <w:tab w:val="right" w:pos="1166"/>
          <w:tab w:val="left" w:pos="1310"/>
        </w:tabs>
        <w:ind w:left="1310" w:hanging="1310"/>
      </w:pPr>
    </w:p>
    <w:p w:rsidR="009D0624" w:rsidRPr="009D0624" w:rsidRDefault="009D0624" w:rsidP="009D0624">
      <w:pPr>
        <w:pStyle w:val="H1"/>
        <w:tabs>
          <w:tab w:val="right" w:pos="1166"/>
          <w:tab w:val="left" w:pos="1310"/>
        </w:tabs>
        <w:ind w:left="1310" w:hanging="1310"/>
      </w:pPr>
      <w:r w:rsidRPr="009D0624">
        <w:rPr>
          <w:b w:val="0"/>
          <w:sz w:val="20"/>
        </w:rPr>
        <w:tab/>
        <w:t>Objet :</w:t>
      </w:r>
      <w:r w:rsidRPr="009D0624">
        <w:rPr>
          <w:b w:val="0"/>
          <w:sz w:val="20"/>
        </w:rPr>
        <w:tab/>
      </w:r>
      <w:r w:rsidRPr="009D0624">
        <w:t xml:space="preserve">Taux de l’indemnité journalière de subsistance applicables </w:t>
      </w:r>
      <w:r w:rsidRPr="009D0624">
        <w:br/>
        <w:t>à New York, Genève et Vienne</w:t>
      </w:r>
    </w:p>
    <w:p w:rsidR="009D0624" w:rsidRPr="009D0624" w:rsidRDefault="009D0624" w:rsidP="009D0624"/>
    <w:p w:rsidR="009D0624" w:rsidRPr="009D0624" w:rsidRDefault="009D0624" w:rsidP="009D0624">
      <w:pPr>
        <w:pStyle w:val="SingleTxt"/>
        <w:numPr>
          <w:ilvl w:val="0"/>
          <w:numId w:val="13"/>
        </w:numPr>
        <w:tabs>
          <w:tab w:val="left" w:pos="1742"/>
        </w:tabs>
      </w:pPr>
      <w:r w:rsidRPr="009D0624">
        <w:t xml:space="preserve">En application de la section 3.4 de l’instruction administrative </w:t>
      </w:r>
      <w:hyperlink r:id="rId14" w:history="1">
        <w:r w:rsidRPr="009D0624">
          <w:rPr>
            <w:rStyle w:val="Hyperlink"/>
          </w:rPr>
          <w:t>ST/AI/2014/2</w:t>
        </w:r>
      </w:hyperlink>
      <w:r w:rsidRPr="009D0624">
        <w:t xml:space="preserve"> portant sur le régime de l’indemnité journalière de subsistance, la présente circulaire a pour objet d’informer les fonctionnaires des taux de l’indemnité journalière de subsistance applicables dans les lieux d’affectation susmentionnés et de leur date d’entrée en vigueur (voir annexe).</w:t>
      </w:r>
    </w:p>
    <w:p w:rsidR="009D0624" w:rsidRPr="009D0624" w:rsidRDefault="009D0624" w:rsidP="009D0624">
      <w:pPr>
        <w:pStyle w:val="SingleTxt"/>
        <w:numPr>
          <w:ilvl w:val="0"/>
          <w:numId w:val="13"/>
        </w:numPr>
      </w:pPr>
      <w:r w:rsidRPr="009D0624">
        <w:t xml:space="preserve">Le tableau qui figure en annexe remplace celui de la circulaire </w:t>
      </w:r>
      <w:hyperlink r:id="rId15" w:history="1">
        <w:r w:rsidRPr="009D0624">
          <w:rPr>
            <w:rStyle w:val="Hyperlink"/>
          </w:rPr>
          <w:t>ST/IC/2015/25</w:t>
        </w:r>
      </w:hyperlink>
      <w:r w:rsidRPr="009D0624">
        <w:t>.</w:t>
      </w:r>
    </w:p>
    <w:p w:rsidR="009D0624" w:rsidRPr="009D0624" w:rsidRDefault="009D0624" w:rsidP="009D0624">
      <w:pPr>
        <w:pStyle w:val="SingleTxt"/>
      </w:pPr>
    </w:p>
    <w:p w:rsidR="009D0624" w:rsidRPr="009D0624" w:rsidRDefault="009D0624" w:rsidP="009D0624">
      <w:pPr>
        <w:pStyle w:val="SingleTxt"/>
      </w:pPr>
    </w:p>
    <w:p w:rsidR="009D0624" w:rsidRPr="009D0624" w:rsidRDefault="009D0624">
      <w:pPr>
        <w:spacing w:after="200" w:line="276" w:lineRule="auto"/>
      </w:pPr>
      <w:r w:rsidRPr="009D0624">
        <w:br w:type="page"/>
      </w:r>
    </w:p>
    <w:p w:rsidR="009D0624" w:rsidRPr="009D0624" w:rsidRDefault="009D0624" w:rsidP="009D062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0624">
        <w:lastRenderedPageBreak/>
        <w:t>Annexe</w:t>
      </w:r>
    </w:p>
    <w:p w:rsidR="009D0624" w:rsidRPr="009D0624" w:rsidRDefault="009D0624" w:rsidP="009D0624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b/>
          <w:sz w:val="10"/>
        </w:rPr>
      </w:pPr>
    </w:p>
    <w:p w:rsidR="009D0624" w:rsidRPr="009D0624" w:rsidRDefault="009D0624" w:rsidP="009D062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0624">
        <w:tab/>
      </w:r>
      <w:r w:rsidRPr="009D0624">
        <w:tab/>
        <w:t>Taux de l’indemnité journalière de subsistance applicables à New York, à Genève et à Vienne</w:t>
      </w:r>
    </w:p>
    <w:p w:rsidR="009D0624" w:rsidRPr="009D0624" w:rsidRDefault="009D0624" w:rsidP="009D0624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9D0624" w:rsidRPr="009D0624" w:rsidRDefault="009D0624" w:rsidP="009D0624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tbl>
      <w:tblPr>
        <w:tblW w:w="8586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201"/>
        <w:gridCol w:w="1202"/>
        <w:gridCol w:w="1201"/>
        <w:gridCol w:w="1202"/>
      </w:tblGrid>
      <w:tr w:rsidR="009D0624" w:rsidRPr="009D0624" w:rsidTr="000E7BA4">
        <w:trPr>
          <w:tblHeader/>
        </w:trPr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1" w:after="81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0624" w:rsidRPr="00A312E4" w:rsidRDefault="009D0624" w:rsidP="009D0624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1" w:after="81" w:line="160" w:lineRule="exact"/>
              <w:ind w:left="144" w:right="43"/>
              <w:jc w:val="right"/>
              <w:rPr>
                <w:i/>
                <w:sz w:val="14"/>
                <w:lang w:val="en-GB"/>
              </w:rPr>
            </w:pPr>
            <w:r w:rsidRPr="00A312E4">
              <w:rPr>
                <w:i/>
                <w:sz w:val="14"/>
                <w:lang w:val="en-GB"/>
              </w:rPr>
              <w:t xml:space="preserve">New </w:t>
            </w:r>
            <w:proofErr w:type="spellStart"/>
            <w:r w:rsidRPr="00A312E4">
              <w:rPr>
                <w:i/>
                <w:sz w:val="14"/>
                <w:lang w:val="en-GB"/>
              </w:rPr>
              <w:t>York</w:t>
            </w:r>
            <w:r w:rsidRPr="00A312E4">
              <w:rPr>
                <w:i/>
                <w:sz w:val="14"/>
                <w:vertAlign w:val="superscript"/>
                <w:lang w:val="en-GB"/>
              </w:rPr>
              <w:t>a</w:t>
            </w:r>
            <w:proofErr w:type="spellEnd"/>
            <w:r w:rsidRPr="00A312E4">
              <w:rPr>
                <w:i/>
                <w:sz w:val="14"/>
                <w:vertAlign w:val="superscript"/>
                <w:lang w:val="en-GB"/>
              </w:rPr>
              <w:t xml:space="preserve"> </w:t>
            </w:r>
            <w:r w:rsidRPr="00A312E4">
              <w:rPr>
                <w:i/>
                <w:sz w:val="14"/>
                <w:lang w:val="en-GB"/>
              </w:rPr>
              <w:br/>
              <w:t>(dollars É.-U. par jour)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D0624" w:rsidRPr="00A312E4" w:rsidRDefault="009D0624" w:rsidP="009D0624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1" w:after="81" w:line="160" w:lineRule="exact"/>
              <w:ind w:left="144" w:right="43"/>
              <w:jc w:val="right"/>
              <w:rPr>
                <w:i/>
                <w:sz w:val="14"/>
                <w:lang w:val="en-GB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1" w:after="81" w:line="160" w:lineRule="exact"/>
              <w:ind w:left="144" w:right="43"/>
              <w:jc w:val="right"/>
              <w:rPr>
                <w:i/>
                <w:sz w:val="14"/>
              </w:rPr>
            </w:pPr>
            <w:proofErr w:type="spellStart"/>
            <w:r w:rsidRPr="009D0624">
              <w:rPr>
                <w:i/>
                <w:sz w:val="14"/>
              </w:rPr>
              <w:t>Genève</w:t>
            </w:r>
            <w:r w:rsidRPr="009D0624">
              <w:rPr>
                <w:i/>
                <w:sz w:val="14"/>
                <w:vertAlign w:val="superscript"/>
              </w:rPr>
              <w:t>b</w:t>
            </w:r>
            <w:proofErr w:type="spellEnd"/>
            <w:r w:rsidRPr="009D0624">
              <w:rPr>
                <w:i/>
                <w:sz w:val="14"/>
              </w:rPr>
              <w:t xml:space="preserve"> </w:t>
            </w:r>
            <w:r w:rsidRPr="009D0624">
              <w:rPr>
                <w:i/>
                <w:sz w:val="14"/>
              </w:rPr>
              <w:br/>
              <w:t>(francs suisses</w:t>
            </w:r>
            <w:r w:rsidRPr="009D0624">
              <w:rPr>
                <w:i/>
                <w:sz w:val="14"/>
              </w:rPr>
              <w:br/>
              <w:t>par jour)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1" w:after="81" w:line="160" w:lineRule="exact"/>
              <w:ind w:left="144" w:right="43"/>
              <w:jc w:val="right"/>
              <w:rPr>
                <w:i/>
                <w:sz w:val="14"/>
              </w:rPr>
            </w:pPr>
            <w:proofErr w:type="spellStart"/>
            <w:r w:rsidRPr="009D0624">
              <w:rPr>
                <w:i/>
                <w:sz w:val="14"/>
              </w:rPr>
              <w:t>Vienne</w:t>
            </w:r>
            <w:r w:rsidRPr="009D0624">
              <w:rPr>
                <w:i/>
                <w:sz w:val="14"/>
                <w:vertAlign w:val="superscript"/>
              </w:rPr>
              <w:t>c</w:t>
            </w:r>
            <w:proofErr w:type="spellEnd"/>
            <w:r w:rsidRPr="009D0624">
              <w:rPr>
                <w:i/>
                <w:sz w:val="14"/>
              </w:rPr>
              <w:t xml:space="preserve"> </w:t>
            </w:r>
            <w:r w:rsidRPr="009D0624">
              <w:rPr>
                <w:i/>
                <w:sz w:val="14"/>
              </w:rPr>
              <w:br/>
              <w:t>(euros</w:t>
            </w:r>
            <w:r w:rsidRPr="009D0624">
              <w:rPr>
                <w:i/>
                <w:sz w:val="14"/>
              </w:rPr>
              <w:br/>
              <w:t>par jour)</w:t>
            </w:r>
          </w:p>
        </w:tc>
      </w:tr>
      <w:tr w:rsidR="009D0624" w:rsidRPr="009D0624" w:rsidTr="000E7BA4">
        <w:trPr>
          <w:trHeight w:hRule="exact" w:val="115"/>
          <w:tblHeader/>
        </w:trPr>
        <w:tc>
          <w:tcPr>
            <w:tcW w:w="37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9D0624" w:rsidRPr="009D0624" w:rsidTr="000E7BA4">
        <w:tc>
          <w:tcPr>
            <w:tcW w:w="3780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left="288" w:right="40" w:hanging="288"/>
              <w:rPr>
                <w:sz w:val="17"/>
              </w:rPr>
            </w:pPr>
            <w:r w:rsidRPr="009D0624">
              <w:rPr>
                <w:sz w:val="17"/>
              </w:rPr>
              <w:t>i)</w:t>
            </w:r>
            <w:r w:rsidRPr="009D0624">
              <w:rPr>
                <w:sz w:val="17"/>
              </w:rPr>
              <w:tab/>
            </w:r>
            <w:r w:rsidRPr="009D0624">
              <w:rPr>
                <w:i/>
                <w:sz w:val="17"/>
              </w:rPr>
              <w:t>Pendant les 60 premiers jours</w:t>
            </w:r>
            <w:r w:rsidRPr="009D0624">
              <w:rPr>
                <w:sz w:val="17"/>
              </w:rPr>
              <w:t xml:space="preserve">, consécutifs </w:t>
            </w:r>
            <w:r w:rsidRPr="009D0624">
              <w:rPr>
                <w:sz w:val="17"/>
              </w:rPr>
              <w:br/>
              <w:t xml:space="preserve">ou non, au lieu d’affectation temporaire, </w:t>
            </w:r>
            <w:r w:rsidRPr="009D0624">
              <w:rPr>
                <w:sz w:val="17"/>
              </w:rPr>
              <w:br/>
              <w:t>tous les fonctionnaires :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i/>
                <w:sz w:val="17"/>
              </w:rPr>
            </w:pPr>
            <w:r w:rsidRPr="009D0624">
              <w:rPr>
                <w:i/>
                <w:sz w:val="17"/>
              </w:rPr>
              <w:t>30 premiers jours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i/>
                <w:sz w:val="17"/>
              </w:rPr>
            </w:pPr>
            <w:r w:rsidRPr="009D0624">
              <w:rPr>
                <w:i/>
                <w:sz w:val="17"/>
              </w:rPr>
              <w:t>30 jours suivants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9D0624" w:rsidRPr="009D0624" w:rsidTr="000E7BA4">
        <w:tc>
          <w:tcPr>
            <w:tcW w:w="3780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D0624">
              <w:rPr>
                <w:sz w:val="17"/>
              </w:rPr>
              <w:tab/>
              <w:t>Taux standard valable toute l’année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410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349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383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256</w:t>
            </w:r>
          </w:p>
        </w:tc>
      </w:tr>
      <w:tr w:rsidR="009D0624" w:rsidRPr="009D0624" w:rsidTr="000E7BA4">
        <w:tc>
          <w:tcPr>
            <w:tcW w:w="3780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D0624">
              <w:rPr>
                <w:sz w:val="17"/>
              </w:rPr>
              <w:tab/>
              <w:t xml:space="preserve">Certains hôtels, de janvier à </w:t>
            </w:r>
            <w:proofErr w:type="spellStart"/>
            <w:r w:rsidRPr="009D0624">
              <w:rPr>
                <w:sz w:val="17"/>
              </w:rPr>
              <w:t>août</w:t>
            </w:r>
            <w:r w:rsidRPr="009D0624">
              <w:rPr>
                <w:i/>
                <w:sz w:val="17"/>
                <w:vertAlign w:val="superscript"/>
              </w:rPr>
              <w:t>d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500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425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9D0624" w:rsidRPr="009D0624" w:rsidTr="000E7BA4">
        <w:tc>
          <w:tcPr>
            <w:tcW w:w="3780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D0624">
              <w:rPr>
                <w:sz w:val="17"/>
              </w:rPr>
              <w:tab/>
              <w:t xml:space="preserve">Certains hôtels, de septembre à </w:t>
            </w:r>
            <w:proofErr w:type="spellStart"/>
            <w:r w:rsidRPr="009D0624">
              <w:rPr>
                <w:sz w:val="17"/>
              </w:rPr>
              <w:t>décembre</w:t>
            </w:r>
            <w:r w:rsidRPr="009D0624">
              <w:rPr>
                <w:i/>
                <w:sz w:val="17"/>
                <w:vertAlign w:val="superscript"/>
              </w:rPr>
              <w:t>e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600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510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9D0624" w:rsidRPr="009D0624" w:rsidTr="000E7BA4">
        <w:tc>
          <w:tcPr>
            <w:tcW w:w="3780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left="288" w:right="40" w:hanging="288"/>
              <w:rPr>
                <w:sz w:val="17"/>
              </w:rPr>
            </w:pPr>
            <w:r w:rsidRPr="009D0624">
              <w:rPr>
                <w:sz w:val="17"/>
              </w:rPr>
              <w:t>ii)</w:t>
            </w:r>
            <w:r w:rsidRPr="009D0624">
              <w:rPr>
                <w:sz w:val="17"/>
              </w:rPr>
              <w:tab/>
            </w:r>
            <w:r w:rsidRPr="009D0624">
              <w:rPr>
                <w:i/>
                <w:sz w:val="17"/>
              </w:rPr>
              <w:t>Pendant les 60 jours suivants</w:t>
            </w:r>
            <w:r w:rsidRPr="009D0624">
              <w:rPr>
                <w:sz w:val="17"/>
              </w:rPr>
              <w:t xml:space="preserve">, consécutifs </w:t>
            </w:r>
            <w:r w:rsidRPr="009D0624">
              <w:rPr>
                <w:sz w:val="17"/>
              </w:rPr>
              <w:br/>
              <w:t xml:space="preserve">ou non, au lieu d’affectation temporaire, </w:t>
            </w:r>
            <w:r w:rsidRPr="009D0624">
              <w:rPr>
                <w:sz w:val="17"/>
              </w:rPr>
              <w:br/>
              <w:t>tous les fonctionnaires :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9D0624" w:rsidRPr="009D0624" w:rsidTr="000E7BA4">
        <w:tc>
          <w:tcPr>
            <w:tcW w:w="3780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D0624">
              <w:rPr>
                <w:sz w:val="17"/>
              </w:rPr>
              <w:tab/>
              <w:t>Taux standard valable toute l’année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273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287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192</w:t>
            </w:r>
          </w:p>
        </w:tc>
      </w:tr>
      <w:tr w:rsidR="009D0624" w:rsidRPr="009D0624" w:rsidTr="000E7BA4">
        <w:tc>
          <w:tcPr>
            <w:tcW w:w="3780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D0624">
              <w:rPr>
                <w:sz w:val="17"/>
              </w:rPr>
              <w:tab/>
              <w:t xml:space="preserve">Certains hôtels, de janvier à </w:t>
            </w:r>
            <w:proofErr w:type="spellStart"/>
            <w:r w:rsidRPr="009D0624">
              <w:rPr>
                <w:sz w:val="17"/>
              </w:rPr>
              <w:t>août</w:t>
            </w:r>
            <w:r w:rsidRPr="009D0624">
              <w:rPr>
                <w:i/>
                <w:sz w:val="17"/>
                <w:vertAlign w:val="superscript"/>
              </w:rPr>
              <w:t>d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333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9D0624" w:rsidRPr="009D0624" w:rsidTr="000E7BA4">
        <w:tc>
          <w:tcPr>
            <w:tcW w:w="3780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D0624">
              <w:rPr>
                <w:sz w:val="17"/>
              </w:rPr>
              <w:tab/>
              <w:t xml:space="preserve">Certains hôtels, de septembre à </w:t>
            </w:r>
            <w:proofErr w:type="spellStart"/>
            <w:r w:rsidRPr="009D0624">
              <w:rPr>
                <w:sz w:val="17"/>
              </w:rPr>
              <w:t>décembre</w:t>
            </w:r>
            <w:r w:rsidRPr="009D0624">
              <w:rPr>
                <w:i/>
                <w:sz w:val="17"/>
                <w:vertAlign w:val="superscript"/>
              </w:rPr>
              <w:t>e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400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9D0624" w:rsidRPr="009D0624" w:rsidTr="000E7BA4">
        <w:tc>
          <w:tcPr>
            <w:tcW w:w="3780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left="288" w:right="40" w:hanging="288"/>
              <w:rPr>
                <w:sz w:val="17"/>
              </w:rPr>
            </w:pPr>
            <w:r w:rsidRPr="009D0624">
              <w:rPr>
                <w:sz w:val="17"/>
              </w:rPr>
              <w:t>iii)</w:t>
            </w:r>
            <w:r w:rsidRPr="009D0624">
              <w:rPr>
                <w:sz w:val="17"/>
              </w:rPr>
              <w:tab/>
            </w:r>
            <w:r w:rsidRPr="009D0624">
              <w:rPr>
                <w:i/>
                <w:sz w:val="17"/>
              </w:rPr>
              <w:t>Au-delà de 120 jours</w:t>
            </w:r>
            <w:r w:rsidRPr="009D0624">
              <w:rPr>
                <w:sz w:val="17"/>
              </w:rPr>
              <w:t xml:space="preserve">, consécutifs ou non, </w:t>
            </w:r>
            <w:r w:rsidRPr="009D0624">
              <w:rPr>
                <w:sz w:val="17"/>
              </w:rPr>
              <w:br/>
              <w:t>au lieu d’affectation temporaire, tous les fonctionnaires :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9D0624" w:rsidRPr="009D0624" w:rsidTr="000E7BA4">
        <w:tc>
          <w:tcPr>
            <w:tcW w:w="3780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D0624">
              <w:rPr>
                <w:sz w:val="17"/>
              </w:rPr>
              <w:tab/>
              <w:t>Taux standard valable toute l’année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205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230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154</w:t>
            </w:r>
          </w:p>
        </w:tc>
      </w:tr>
      <w:tr w:rsidR="009D0624" w:rsidRPr="009D0624" w:rsidTr="000E7BA4">
        <w:tc>
          <w:tcPr>
            <w:tcW w:w="3780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D0624">
              <w:rPr>
                <w:sz w:val="17"/>
              </w:rPr>
              <w:tab/>
              <w:t xml:space="preserve">Certains hôtels, de janvier à </w:t>
            </w:r>
            <w:proofErr w:type="spellStart"/>
            <w:r w:rsidRPr="009D0624">
              <w:rPr>
                <w:sz w:val="17"/>
              </w:rPr>
              <w:t>août</w:t>
            </w:r>
            <w:r w:rsidRPr="009D0624">
              <w:rPr>
                <w:i/>
                <w:sz w:val="17"/>
                <w:vertAlign w:val="superscript"/>
              </w:rPr>
              <w:t>d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250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9D0624" w:rsidRPr="009D0624" w:rsidTr="000E7BA4"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D0624">
              <w:rPr>
                <w:sz w:val="17"/>
              </w:rPr>
              <w:tab/>
              <w:t xml:space="preserve">Certains hôtels, de septembre à </w:t>
            </w:r>
            <w:proofErr w:type="spellStart"/>
            <w:r w:rsidRPr="009D0624">
              <w:rPr>
                <w:sz w:val="17"/>
              </w:rPr>
              <w:t>décembre</w:t>
            </w:r>
            <w:r w:rsidRPr="009D0624">
              <w:rPr>
                <w:i/>
                <w:sz w:val="17"/>
                <w:vertAlign w:val="superscript"/>
              </w:rPr>
              <w:t>e</w:t>
            </w:r>
            <w:proofErr w:type="spellEnd"/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9D0624">
              <w:rPr>
                <w:sz w:val="17"/>
              </w:rPr>
              <w:t>300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0624" w:rsidRPr="009D0624" w:rsidRDefault="009D0624" w:rsidP="009D0624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</w:tbl>
    <w:p w:rsidR="009D0624" w:rsidRPr="009D0624" w:rsidRDefault="009D0624" w:rsidP="009D0624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9D0624" w:rsidRPr="009D0624" w:rsidRDefault="009D0624" w:rsidP="009D062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 w:rsidRPr="009D0624">
        <w:tab/>
      </w:r>
      <w:proofErr w:type="spellStart"/>
      <w:proofErr w:type="gramStart"/>
      <w:r w:rsidRPr="009D0624">
        <w:rPr>
          <w:i/>
          <w:vertAlign w:val="superscript"/>
        </w:rPr>
        <w:t>a</w:t>
      </w:r>
      <w:proofErr w:type="spellEnd"/>
      <w:proofErr w:type="gramEnd"/>
      <w:r w:rsidRPr="009D0624">
        <w:tab/>
        <w:t>Date d’entrée en vigueur : 1</w:t>
      </w:r>
      <w:r w:rsidRPr="009D0624">
        <w:rPr>
          <w:vertAlign w:val="superscript"/>
        </w:rPr>
        <w:t>er</w:t>
      </w:r>
      <w:r w:rsidRPr="009D0624">
        <w:t> août 2017.</w:t>
      </w:r>
    </w:p>
    <w:p w:rsidR="009D0624" w:rsidRPr="009D0624" w:rsidRDefault="009D0624" w:rsidP="009D062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 w:rsidRPr="009D0624">
        <w:tab/>
      </w:r>
      <w:proofErr w:type="gramStart"/>
      <w:r w:rsidRPr="009D0624">
        <w:rPr>
          <w:i/>
          <w:vertAlign w:val="superscript"/>
        </w:rPr>
        <w:t>b</w:t>
      </w:r>
      <w:proofErr w:type="gramEnd"/>
      <w:r w:rsidRPr="009D0624">
        <w:tab/>
        <w:t>Date d’entrée en vigueur : 1</w:t>
      </w:r>
      <w:r w:rsidRPr="009D0624">
        <w:rPr>
          <w:vertAlign w:val="superscript"/>
        </w:rPr>
        <w:t>er</w:t>
      </w:r>
      <w:r w:rsidRPr="009D0624">
        <w:t xml:space="preserve"> juillet 2017.</w:t>
      </w:r>
    </w:p>
    <w:p w:rsidR="009D0624" w:rsidRPr="009D0624" w:rsidRDefault="009D0624" w:rsidP="009D062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 w:rsidRPr="009D0624">
        <w:tab/>
      </w:r>
      <w:proofErr w:type="gramStart"/>
      <w:r w:rsidRPr="009D0624">
        <w:rPr>
          <w:i/>
          <w:vertAlign w:val="superscript"/>
        </w:rPr>
        <w:t>c</w:t>
      </w:r>
      <w:proofErr w:type="gramEnd"/>
      <w:r w:rsidRPr="009D0624">
        <w:rPr>
          <w:i/>
          <w:vertAlign w:val="superscript"/>
        </w:rPr>
        <w:tab/>
      </w:r>
      <w:r w:rsidRPr="009D0624">
        <w:t>Date d’entrée en vigueur : 1</w:t>
      </w:r>
      <w:r w:rsidRPr="009D0624">
        <w:rPr>
          <w:vertAlign w:val="superscript"/>
        </w:rPr>
        <w:t>er</w:t>
      </w:r>
      <w:r w:rsidRPr="009D0624">
        <w:t xml:space="preserve"> septembre 2016.</w:t>
      </w:r>
    </w:p>
    <w:p w:rsidR="009D0624" w:rsidRPr="009D0624" w:rsidRDefault="009D0624" w:rsidP="009D062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 w:rsidRPr="009D0624">
        <w:rPr>
          <w:i/>
          <w:vertAlign w:val="superscript"/>
        </w:rPr>
        <w:tab/>
      </w:r>
      <w:proofErr w:type="gramStart"/>
      <w:r w:rsidRPr="009D0624">
        <w:rPr>
          <w:i/>
          <w:vertAlign w:val="superscript"/>
        </w:rPr>
        <w:t>d</w:t>
      </w:r>
      <w:proofErr w:type="gramEnd"/>
      <w:r w:rsidRPr="009D0624">
        <w:rPr>
          <w:i/>
          <w:vertAlign w:val="superscript"/>
        </w:rPr>
        <w:tab/>
      </w:r>
      <w:r w:rsidRPr="009D0624">
        <w:t xml:space="preserve">Les hôtels relevant de cette catégorie sont les suivants : </w:t>
      </w:r>
      <w:proofErr w:type="spellStart"/>
      <w:r w:rsidR="00A312E4" w:rsidRPr="00E54A7B">
        <w:rPr>
          <w:rFonts w:eastAsia="Calibri"/>
          <w:spacing w:val="5"/>
        </w:rPr>
        <w:t>Affinia</w:t>
      </w:r>
      <w:proofErr w:type="spellEnd"/>
      <w:r w:rsidR="00A312E4" w:rsidRPr="00E54A7B">
        <w:rPr>
          <w:rFonts w:eastAsia="Calibri"/>
          <w:spacing w:val="5"/>
        </w:rPr>
        <w:t xml:space="preserve">-Shelburne Murray Hill, Bentley, Double </w:t>
      </w:r>
      <w:proofErr w:type="spellStart"/>
      <w:r w:rsidR="00A312E4" w:rsidRPr="00E54A7B">
        <w:rPr>
          <w:rFonts w:eastAsia="Calibri"/>
          <w:spacing w:val="5"/>
        </w:rPr>
        <w:t>Tree</w:t>
      </w:r>
      <w:proofErr w:type="spellEnd"/>
      <w:r w:rsidR="00A312E4" w:rsidRPr="00E54A7B">
        <w:rPr>
          <w:rFonts w:eastAsia="Calibri"/>
          <w:spacing w:val="5"/>
        </w:rPr>
        <w:t xml:space="preserve"> by Hilton-Times Square, Grand Hyatt, Jolly Madison, One UN New York, Roger Smith et </w:t>
      </w:r>
      <w:proofErr w:type="spellStart"/>
      <w:r w:rsidR="00A312E4" w:rsidRPr="00E54A7B">
        <w:rPr>
          <w:rFonts w:eastAsia="Calibri"/>
          <w:spacing w:val="5"/>
        </w:rPr>
        <w:t>Seton</w:t>
      </w:r>
      <w:proofErr w:type="spellEnd"/>
      <w:r w:rsidR="00A312E4" w:rsidRPr="00E54A7B">
        <w:rPr>
          <w:rFonts w:eastAsia="Calibri"/>
          <w:spacing w:val="5"/>
        </w:rPr>
        <w:t>.</w:t>
      </w:r>
    </w:p>
    <w:p w:rsidR="009D0624" w:rsidRPr="00A312E4" w:rsidRDefault="009D0624" w:rsidP="009D062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  <w:rPr>
          <w:lang w:val="en-GB"/>
        </w:rPr>
      </w:pPr>
      <w:r w:rsidRPr="009D0624">
        <w:rPr>
          <w:i/>
          <w:vertAlign w:val="superscript"/>
        </w:rPr>
        <w:tab/>
      </w:r>
      <w:r w:rsidRPr="00A312E4">
        <w:rPr>
          <w:i/>
          <w:vertAlign w:val="superscript"/>
          <w:lang w:val="en-GB"/>
        </w:rPr>
        <w:t>e</w:t>
      </w:r>
      <w:r w:rsidRPr="00A312E4">
        <w:rPr>
          <w:i/>
          <w:vertAlign w:val="superscript"/>
          <w:lang w:val="en-GB"/>
        </w:rPr>
        <w:tab/>
      </w:r>
      <w:r w:rsidRPr="00A312E4">
        <w:rPr>
          <w:lang w:val="en-GB"/>
        </w:rPr>
        <w:t xml:space="preserve">Les </w:t>
      </w:r>
      <w:proofErr w:type="spellStart"/>
      <w:r w:rsidRPr="00A312E4">
        <w:rPr>
          <w:lang w:val="en-GB"/>
        </w:rPr>
        <w:t>hôtels</w:t>
      </w:r>
      <w:proofErr w:type="spellEnd"/>
      <w:r w:rsidRPr="00A312E4">
        <w:rPr>
          <w:lang w:val="en-GB"/>
        </w:rPr>
        <w:t xml:space="preserve"> relevant de </w:t>
      </w:r>
      <w:proofErr w:type="spellStart"/>
      <w:r w:rsidRPr="00A312E4">
        <w:rPr>
          <w:lang w:val="en-GB"/>
        </w:rPr>
        <w:t>cette</w:t>
      </w:r>
      <w:proofErr w:type="spellEnd"/>
      <w:r w:rsidRPr="00A312E4">
        <w:rPr>
          <w:lang w:val="en-GB"/>
        </w:rPr>
        <w:t xml:space="preserve"> </w:t>
      </w:r>
      <w:proofErr w:type="spellStart"/>
      <w:r w:rsidRPr="00A312E4">
        <w:rPr>
          <w:lang w:val="en-GB"/>
        </w:rPr>
        <w:t>catégorie</w:t>
      </w:r>
      <w:proofErr w:type="spellEnd"/>
      <w:r w:rsidRPr="00A312E4">
        <w:rPr>
          <w:lang w:val="en-GB"/>
        </w:rPr>
        <w:t xml:space="preserve"> </w:t>
      </w:r>
      <w:proofErr w:type="spellStart"/>
      <w:r w:rsidRPr="00A312E4">
        <w:rPr>
          <w:lang w:val="en-GB"/>
        </w:rPr>
        <w:t>sont</w:t>
      </w:r>
      <w:proofErr w:type="spellEnd"/>
      <w:r w:rsidRPr="00A312E4">
        <w:rPr>
          <w:lang w:val="en-GB"/>
        </w:rPr>
        <w:t xml:space="preserve"> les </w:t>
      </w:r>
      <w:proofErr w:type="spellStart"/>
      <w:r w:rsidRPr="00A312E4">
        <w:rPr>
          <w:lang w:val="en-GB"/>
        </w:rPr>
        <w:t>suivants</w:t>
      </w:r>
      <w:proofErr w:type="spellEnd"/>
      <w:r w:rsidRPr="00A312E4">
        <w:rPr>
          <w:lang w:val="en-GB"/>
        </w:rPr>
        <w:t xml:space="preserve"> : </w:t>
      </w:r>
      <w:proofErr w:type="spellStart"/>
      <w:r w:rsidR="00A312E4" w:rsidRPr="00084075">
        <w:rPr>
          <w:rFonts w:eastAsia="Calibri"/>
          <w:spacing w:val="5"/>
          <w:lang w:val="en-GB"/>
        </w:rPr>
        <w:t>Affinia</w:t>
      </w:r>
      <w:proofErr w:type="spellEnd"/>
      <w:r w:rsidR="00A312E4" w:rsidRPr="00084075">
        <w:rPr>
          <w:rFonts w:eastAsia="Calibri"/>
          <w:spacing w:val="5"/>
          <w:lang w:val="en-GB"/>
        </w:rPr>
        <w:t>-Shelburne Murray Hill, Bentley, Double Tree by Hilton-Times Square, One UN New York, Roger Smith, Seton et The Renwick.</w:t>
      </w:r>
    </w:p>
    <w:p w:rsidR="009D0624" w:rsidRPr="007029F0" w:rsidRDefault="007029F0" w:rsidP="007029F0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88F0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9D0624" w:rsidRPr="007029F0" w:rsidSect="009D0624">
      <w:type w:val="continuous"/>
      <w:pgSz w:w="12240" w:h="15840"/>
      <w:pgMar w:top="1440" w:right="1200" w:bottom="1152" w:left="1200" w:header="432" w:footer="50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7FF" w:rsidRDefault="005477FF" w:rsidP="005477FF">
      <w:pPr>
        <w:spacing w:line="240" w:lineRule="auto"/>
      </w:pPr>
      <w:r>
        <w:separator/>
      </w:r>
    </w:p>
  </w:endnote>
  <w:endnote w:type="continuationSeparator" w:id="0">
    <w:p w:rsidR="005477FF" w:rsidRDefault="005477FF" w:rsidP="00547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5477FF" w:rsidTr="005477FF">
      <w:tc>
        <w:tcPr>
          <w:tcW w:w="5028" w:type="dxa"/>
          <w:shd w:val="clear" w:color="auto" w:fill="auto"/>
        </w:tcPr>
        <w:p w:rsidR="005477FF" w:rsidRPr="005477FF" w:rsidRDefault="005477FF" w:rsidP="005477FF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17-12524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5477FF" w:rsidRPr="005477FF" w:rsidRDefault="005477FF" w:rsidP="005477FF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12A1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12A1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5477FF" w:rsidRPr="005477FF" w:rsidRDefault="005477FF" w:rsidP="00547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5477FF" w:rsidTr="005477FF">
      <w:tc>
        <w:tcPr>
          <w:tcW w:w="5028" w:type="dxa"/>
          <w:shd w:val="clear" w:color="auto" w:fill="auto"/>
        </w:tcPr>
        <w:p w:rsidR="005477FF" w:rsidRPr="005477FF" w:rsidRDefault="005477FF" w:rsidP="005477FF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5477FF" w:rsidRPr="005477FF" w:rsidRDefault="005477FF" w:rsidP="005477FF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17-12524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5477FF" w:rsidRPr="005477FF" w:rsidRDefault="005477FF" w:rsidP="00547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7FF" w:rsidRDefault="005477F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BC55C5D" wp14:editId="7D752F2D">
          <wp:simplePos x="0" y="0"/>
          <wp:positionH relativeFrom="column">
            <wp:posOffset>5532120</wp:posOffset>
          </wp:positionH>
          <wp:positionV relativeFrom="paragraph">
            <wp:posOffset>-173355</wp:posOffset>
          </wp:positionV>
          <wp:extent cx="694690" cy="694690"/>
          <wp:effectExtent l="0" t="0" r="0" b="0"/>
          <wp:wrapNone/>
          <wp:docPr id="3" name="Picture 3" descr="https://undocs.org/m2/QRCode2.ashx?DS=ST/IC/2017/20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7/20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5477FF" w:rsidTr="005477FF">
      <w:tc>
        <w:tcPr>
          <w:tcW w:w="3758" w:type="dxa"/>
        </w:tcPr>
        <w:p w:rsidR="005477FF" w:rsidRDefault="005477FF" w:rsidP="005477FF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17-12524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270717    2</w:t>
          </w:r>
          <w:r w:rsidR="009D0624">
            <w:rPr>
              <w:b w:val="0"/>
              <w:sz w:val="20"/>
            </w:rPr>
            <w:t>8</w:t>
          </w:r>
          <w:r>
            <w:rPr>
              <w:b w:val="0"/>
              <w:sz w:val="20"/>
            </w:rPr>
            <w:t>0717</w:t>
          </w:r>
        </w:p>
        <w:p w:rsidR="005477FF" w:rsidRPr="005477FF" w:rsidRDefault="005477FF" w:rsidP="005477FF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*1712524*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5477FF" w:rsidRDefault="005477FF" w:rsidP="005477F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39FD7EC" wp14:editId="762B34E6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477FF" w:rsidRPr="005477FF" w:rsidRDefault="005477FF" w:rsidP="005477FF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7FF" w:rsidRDefault="005477FF" w:rsidP="005477FF">
      <w:pPr>
        <w:spacing w:line="240" w:lineRule="auto"/>
      </w:pPr>
      <w:r>
        <w:separator/>
      </w:r>
    </w:p>
  </w:footnote>
  <w:footnote w:type="continuationSeparator" w:id="0">
    <w:p w:rsidR="005477FF" w:rsidRDefault="005477FF" w:rsidP="00547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5477FF" w:rsidTr="005477FF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477FF" w:rsidRPr="005477FF" w:rsidRDefault="00712A1D" w:rsidP="005477FF">
          <w:pPr>
            <w:pStyle w:val="Header"/>
            <w:spacing w:after="80"/>
            <w:rPr>
              <w:b/>
              <w:color w:val="00000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8546927" o:spid="_x0000_s8194" type="#_x0000_t136" style="position:absolute;margin-left:0;margin-top:0;width:495.5pt;height:198.2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  <w:r w:rsidR="005477FF">
            <w:rPr>
              <w:b/>
              <w:color w:val="000000"/>
            </w:rPr>
            <w:fldChar w:fldCharType="begin"/>
          </w:r>
          <w:r w:rsidR="005477FF">
            <w:rPr>
              <w:b/>
              <w:color w:val="000000"/>
            </w:rPr>
            <w:instrText xml:space="preserve"> DOCVARIABLE "sss1" \* MERGEFORMAT </w:instrText>
          </w:r>
          <w:r w:rsidR="005477FF">
            <w:rPr>
              <w:b/>
              <w:color w:val="000000"/>
            </w:rPr>
            <w:fldChar w:fldCharType="separate"/>
          </w:r>
          <w:r w:rsidR="005477FF">
            <w:rPr>
              <w:b/>
              <w:color w:val="000000"/>
            </w:rPr>
            <w:t>ST/IC/2017/20</w:t>
          </w:r>
          <w:r w:rsidR="005477FF"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5477FF" w:rsidRDefault="005477FF" w:rsidP="005477FF">
          <w:pPr>
            <w:pStyle w:val="Header"/>
          </w:pPr>
        </w:p>
      </w:tc>
    </w:tr>
  </w:tbl>
  <w:p w:rsidR="005477FF" w:rsidRPr="005477FF" w:rsidRDefault="005477FF" w:rsidP="005477FF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5477FF" w:rsidTr="005477FF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477FF" w:rsidRDefault="00712A1D" w:rsidP="005477FF">
          <w:pPr>
            <w:pStyle w:val="Head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8546928" o:spid="_x0000_s8195" type="#_x0000_t136" style="position:absolute;margin-left:0;margin-top:0;width:495.5pt;height:198.2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5477FF" w:rsidRPr="005477FF" w:rsidRDefault="005477FF" w:rsidP="005477FF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>
            <w:rPr>
              <w:b/>
              <w:color w:val="000000"/>
            </w:rPr>
            <w:t>ST/IC/2017/20</w:t>
          </w:r>
          <w:r>
            <w:rPr>
              <w:b/>
              <w:color w:val="000000"/>
            </w:rPr>
            <w:fldChar w:fldCharType="end"/>
          </w:r>
        </w:p>
      </w:tc>
    </w:tr>
  </w:tbl>
  <w:p w:rsidR="005477FF" w:rsidRPr="005477FF" w:rsidRDefault="005477FF" w:rsidP="005477F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5477FF" w:rsidTr="005477FF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477FF" w:rsidRDefault="00712A1D" w:rsidP="005477FF">
          <w:pPr>
            <w:pStyle w:val="Header"/>
            <w:spacing w:after="120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8546926" o:spid="_x0000_s8193" type="#_x0000_t136" style="position:absolute;margin-left:0;margin-top:0;width:495.5pt;height:198.2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477FF" w:rsidRPr="005477FF" w:rsidRDefault="005477FF" w:rsidP="005477FF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477FF" w:rsidRDefault="005477FF" w:rsidP="005477FF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477FF" w:rsidRPr="005477FF" w:rsidRDefault="005477FF" w:rsidP="005477FF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/IC/2017/20</w:t>
          </w:r>
        </w:p>
      </w:tc>
    </w:tr>
    <w:tr w:rsidR="005477FF" w:rsidRPr="005477FF" w:rsidTr="005477F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477FF" w:rsidRPr="005477FF" w:rsidRDefault="005477FF" w:rsidP="005477FF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EA06EF3" wp14:editId="4BCD3DB6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477FF" w:rsidRPr="005477FF" w:rsidRDefault="005477FF" w:rsidP="005477FF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477FF" w:rsidRPr="005477FF" w:rsidRDefault="005477FF" w:rsidP="005477FF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477FF" w:rsidRDefault="005477FF" w:rsidP="005477FF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 xml:space="preserve">24 </w:t>
          </w:r>
          <w:proofErr w:type="spellStart"/>
          <w:r>
            <w:rPr>
              <w:color w:val="000000"/>
            </w:rPr>
            <w:t>juillet</w:t>
          </w:r>
          <w:proofErr w:type="spellEnd"/>
          <w:r>
            <w:rPr>
              <w:color w:val="000000"/>
            </w:rPr>
            <w:t xml:space="preserve"> 2017</w:t>
          </w:r>
        </w:p>
        <w:p w:rsidR="005477FF" w:rsidRDefault="005477FF" w:rsidP="005477FF">
          <w:pPr>
            <w:rPr>
              <w:lang w:val="en-US"/>
            </w:rPr>
          </w:pPr>
        </w:p>
        <w:p w:rsidR="00A312E4" w:rsidRDefault="00A312E4" w:rsidP="005477FF">
          <w:pPr>
            <w:rPr>
              <w:lang w:val="en-US"/>
            </w:rPr>
          </w:pPr>
        </w:p>
        <w:p w:rsidR="00A312E4" w:rsidRDefault="00A312E4" w:rsidP="005477FF">
          <w:pPr>
            <w:rPr>
              <w:lang w:val="en-US"/>
            </w:rPr>
          </w:pPr>
        </w:p>
        <w:p w:rsidR="00A312E4" w:rsidRPr="00A312E4" w:rsidRDefault="00A312E4" w:rsidP="005477FF">
          <w:pPr>
            <w:rPr>
              <w:lang w:val="fr-CA"/>
            </w:rPr>
          </w:pPr>
          <w:r>
            <w:rPr>
              <w:rFonts w:eastAsia="Times New Roman"/>
              <w:i/>
              <w:iCs/>
              <w:szCs w:val="20"/>
            </w:rPr>
            <w:t>[Texte modifié selon ST/IC/2017/20/Corr.1]</w:t>
          </w:r>
        </w:p>
      </w:tc>
    </w:tr>
  </w:tbl>
  <w:p w:rsidR="005477FF" w:rsidRPr="00A312E4" w:rsidRDefault="005477FF" w:rsidP="005477FF">
    <w:pPr>
      <w:pStyle w:val="Header"/>
      <w:spacing w:line="240" w:lineRule="auto"/>
      <w:rPr>
        <w:sz w:val="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5CC7"/>
    <w:multiLevelType w:val="hybridMultilevel"/>
    <w:tmpl w:val="E670E8BA"/>
    <w:lvl w:ilvl="0" w:tplc="201E8620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E03B2"/>
    <w:multiLevelType w:val="singleLevel"/>
    <w:tmpl w:val="8A14C074"/>
    <w:lvl w:ilvl="0">
      <w:start w:val="1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doNotHyphenateCaps/>
  <w:evenAndOddHeaders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2524*"/>
    <w:docVar w:name="CreationDt" w:val="27/07/2017 15:07:06"/>
    <w:docVar w:name="DocCategory" w:val="Doc"/>
    <w:docVar w:name="DocType" w:val="Final"/>
    <w:docVar w:name="DutyStation" w:val="New York"/>
    <w:docVar w:name="FooterJN" w:val="17-12524"/>
    <w:docVar w:name="jobn" w:val="17-12524 (F)"/>
    <w:docVar w:name="jobnDT" w:val="17-12524 (F)   270717"/>
    <w:docVar w:name="jobnDTDT" w:val="17-12524 (F)   270717   270717"/>
    <w:docVar w:name="JobNo" w:val="1712524F"/>
    <w:docVar w:name="JobNo2" w:val="1722713F"/>
    <w:docVar w:name="LocalDrive" w:val="0"/>
    <w:docVar w:name="OandT" w:val="cmd"/>
    <w:docVar w:name="sss1" w:val="ST/IC/2017/20"/>
    <w:docVar w:name="sss2" w:val="-"/>
    <w:docVar w:name="Symbol1" w:val="ST/IC/2017/20"/>
    <w:docVar w:name="Symbol2" w:val="-"/>
  </w:docVars>
  <w:rsids>
    <w:rsidRoot w:val="00C86597"/>
    <w:rsid w:val="00090E70"/>
    <w:rsid w:val="002953B9"/>
    <w:rsid w:val="002E7BBE"/>
    <w:rsid w:val="005477FF"/>
    <w:rsid w:val="005658CF"/>
    <w:rsid w:val="007029F0"/>
    <w:rsid w:val="00712A1D"/>
    <w:rsid w:val="0086727A"/>
    <w:rsid w:val="009D0624"/>
    <w:rsid w:val="00A05F8D"/>
    <w:rsid w:val="00A312E4"/>
    <w:rsid w:val="00AB5CDC"/>
    <w:rsid w:val="00C86597"/>
    <w:rsid w:val="00D25800"/>
    <w:rsid w:val="00EB0380"/>
    <w:rsid w:val="00E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docId w15:val="{B280E1F1-A0BB-493E-96EB-F79E2A76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800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0"/>
    <w:pPr>
      <w:numPr>
        <w:numId w:val="12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800"/>
    <w:pPr>
      <w:numPr>
        <w:ilvl w:val="1"/>
        <w:numId w:val="12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5800"/>
    <w:pPr>
      <w:numPr>
        <w:ilvl w:val="2"/>
        <w:numId w:val="12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25800"/>
    <w:pPr>
      <w:keepNext/>
      <w:keepLines/>
      <w:numPr>
        <w:ilvl w:val="3"/>
        <w:numId w:val="12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25800"/>
    <w:pPr>
      <w:keepNext/>
      <w:keepLines/>
      <w:numPr>
        <w:ilvl w:val="4"/>
        <w:numId w:val="1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25800"/>
    <w:pPr>
      <w:keepNext/>
      <w:keepLines/>
      <w:numPr>
        <w:ilvl w:val="5"/>
        <w:numId w:val="1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25800"/>
    <w:pPr>
      <w:keepNext/>
      <w:keepLines/>
      <w:numPr>
        <w:ilvl w:val="6"/>
        <w:numId w:val="1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0"/>
    <w:pPr>
      <w:keepNext/>
      <w:keepLines/>
      <w:numPr>
        <w:ilvl w:val="7"/>
        <w:numId w:val="12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0"/>
    <w:pPr>
      <w:keepNext/>
      <w:keepLines/>
      <w:numPr>
        <w:ilvl w:val="8"/>
        <w:numId w:val="12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D25800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D25800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D25800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D25800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D25800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D25800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D25800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D25800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D2580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25800"/>
    <w:pPr>
      <w:ind w:left="1267" w:right="1267"/>
    </w:pPr>
  </w:style>
  <w:style w:type="paragraph" w:customStyle="1" w:styleId="SingleTxt">
    <w:name w:val="__Single Txt"/>
    <w:basedOn w:val="Normal"/>
    <w:qFormat/>
    <w:rsid w:val="00D2580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D25800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D25800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D25800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800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D25800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D25800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D25800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D25800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</w:rPr>
  </w:style>
  <w:style w:type="character" w:styleId="EndnoteReference">
    <w:name w:val="endnote reference"/>
    <w:basedOn w:val="DefaultParagraphFont"/>
    <w:uiPriority w:val="99"/>
    <w:semiHidden/>
    <w:rsid w:val="00D2580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5800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25800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D25800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</w:rPr>
  </w:style>
  <w:style w:type="character" w:customStyle="1" w:styleId="FooterChar">
    <w:name w:val="Footer Char"/>
    <w:link w:val="Footer"/>
    <w:uiPriority w:val="99"/>
    <w:rsid w:val="00D25800"/>
    <w:rPr>
      <w:rFonts w:ascii="Times New Roman" w:hAnsi="Times New Roman" w:cs="Times New Roman"/>
      <w:b/>
      <w:spacing w:val="3"/>
      <w:w w:val="105"/>
      <w:sz w:val="17"/>
    </w:rPr>
  </w:style>
  <w:style w:type="character" w:styleId="FootnoteReference">
    <w:name w:val="footnote reference"/>
    <w:uiPriority w:val="99"/>
    <w:semiHidden/>
    <w:rsid w:val="00D2580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D2580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D25800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D25800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</w:rPr>
  </w:style>
  <w:style w:type="character" w:customStyle="1" w:styleId="HeaderChar">
    <w:name w:val="Header Char"/>
    <w:link w:val="Header"/>
    <w:uiPriority w:val="99"/>
    <w:rsid w:val="00D25800"/>
    <w:rPr>
      <w:rFonts w:ascii="Times New Roman" w:hAnsi="Times New Roman" w:cs="Times New Roman"/>
      <w:spacing w:val="3"/>
      <w:w w:val="105"/>
      <w:sz w:val="17"/>
    </w:rPr>
  </w:style>
  <w:style w:type="character" w:customStyle="1" w:styleId="Heading1Char">
    <w:name w:val="Heading 1 Char"/>
    <w:link w:val="Heading1"/>
    <w:uiPriority w:val="9"/>
    <w:rsid w:val="00D25800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D25800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D25800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D25800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D25800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D25800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D25800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D25800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D25800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D25800"/>
    <w:rPr>
      <w:sz w:val="14"/>
    </w:rPr>
  </w:style>
  <w:style w:type="paragraph" w:styleId="ListParagraph">
    <w:name w:val="List Paragraph"/>
    <w:basedOn w:val="Normal"/>
    <w:uiPriority w:val="34"/>
    <w:rsid w:val="00D25800"/>
    <w:pPr>
      <w:ind w:left="720"/>
      <w:contextualSpacing/>
    </w:pPr>
  </w:style>
  <w:style w:type="paragraph" w:styleId="NoSpacing">
    <w:name w:val="No Spacing"/>
    <w:uiPriority w:val="1"/>
    <w:rsid w:val="00D25800"/>
    <w:pPr>
      <w:spacing w:after="0" w:line="240" w:lineRule="auto"/>
    </w:pPr>
    <w:rPr>
      <w:rFonts w:ascii="Calibri" w:hAnsi="Calibri" w:cs="Times New Roman"/>
    </w:rPr>
  </w:style>
  <w:style w:type="paragraph" w:customStyle="1" w:styleId="Original">
    <w:name w:val="Original"/>
    <w:next w:val="Normal"/>
    <w:autoRedefine/>
    <w:qFormat/>
    <w:rsid w:val="00D2580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</w:rPr>
  </w:style>
  <w:style w:type="paragraph" w:customStyle="1" w:styleId="Publication">
    <w:name w:val="Publication"/>
    <w:next w:val="Normal"/>
    <w:autoRedefine/>
    <w:qFormat/>
    <w:rsid w:val="00D2580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</w:rPr>
  </w:style>
  <w:style w:type="paragraph" w:customStyle="1" w:styleId="ReleaseDate">
    <w:name w:val="Release Date"/>
    <w:next w:val="Normal"/>
    <w:autoRedefine/>
    <w:qFormat/>
    <w:rsid w:val="00D25800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</w:rPr>
  </w:style>
  <w:style w:type="paragraph" w:customStyle="1" w:styleId="Small">
    <w:name w:val="Small"/>
    <w:basedOn w:val="Normal"/>
    <w:next w:val="Normal"/>
    <w:qFormat/>
    <w:rsid w:val="00D25800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D25800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D25800"/>
    <w:rPr>
      <w:b/>
      <w:bCs/>
    </w:rPr>
  </w:style>
  <w:style w:type="paragraph" w:customStyle="1" w:styleId="Style1">
    <w:name w:val="Style1"/>
    <w:basedOn w:val="Normal"/>
    <w:qFormat/>
    <w:rsid w:val="00D25800"/>
  </w:style>
  <w:style w:type="paragraph" w:customStyle="1" w:styleId="Style2">
    <w:name w:val="Style2"/>
    <w:basedOn w:val="Normal"/>
    <w:autoRedefine/>
    <w:qFormat/>
    <w:rsid w:val="00D25800"/>
  </w:style>
  <w:style w:type="paragraph" w:customStyle="1" w:styleId="TitleHCH">
    <w:name w:val="Title_H_CH"/>
    <w:basedOn w:val="HCH"/>
    <w:next w:val="SingleTxt"/>
    <w:qFormat/>
    <w:rsid w:val="00D25800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D25800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D25800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47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7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7FF"/>
    <w:rPr>
      <w:rFonts w:ascii="Times New Roman" w:hAnsi="Times New Roman" w:cs="Times New Roman"/>
      <w:spacing w:val="4"/>
      <w:w w:val="103"/>
      <w:kern w:val="14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7F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9D0624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D062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IC/2015/2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fr/ST/IC/2015/25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AI/2014/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Diana Guiu</cp:lastModifiedBy>
  <cp:revision>4</cp:revision>
  <dcterms:created xsi:type="dcterms:W3CDTF">2017-07-31T15:37:00Z</dcterms:created>
  <dcterms:modified xsi:type="dcterms:W3CDTF">2018-01-22T21:04:00Z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1712524F</vt:lpwstr>
  </property>
  <property fmtid="{D5CDD505-2E9C-101B-9397-08002B2CF9AE}" pid="3" name="ODSRefJobNo">
    <vt:lpwstr>1722713F</vt:lpwstr>
  </property>
  <property fmtid="{D5CDD505-2E9C-101B-9397-08002B2CF9AE}" pid="4" name="Symbol1">
    <vt:lpwstr>ST/IC/2017/20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omment">
    <vt:lpwstr/>
  </property>
  <property fmtid="{D5CDD505-2E9C-101B-9397-08002B2CF9AE}" pid="8" name="DraftPages">
    <vt:lpwstr> </vt:lpwstr>
  </property>
  <property fmtid="{D5CDD505-2E9C-101B-9397-08002B2CF9AE}" pid="9" name="Operator">
    <vt:lpwstr>cmd</vt:lpwstr>
  </property>
  <property fmtid="{D5CDD505-2E9C-101B-9397-08002B2CF9AE}" pid="10" name="Publication Date">
    <vt:lpwstr>24 juillet 2017</vt:lpwstr>
  </property>
  <property fmtid="{D5CDD505-2E9C-101B-9397-08002B2CF9AE}" pid="11" name="Release Date">
    <vt:lpwstr>270717</vt:lpwstr>
  </property>
</Properties>
</file>