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19" w:rsidRPr="000B66B2" w:rsidRDefault="00B33419" w:rsidP="00B33419">
      <w:pPr>
        <w:spacing w:line="240" w:lineRule="auto"/>
        <w:rPr>
          <w:sz w:val="2"/>
        </w:rPr>
        <w:sectPr w:rsidR="00B33419" w:rsidRPr="000B66B2" w:rsidSect="00B773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95528F" w:rsidRPr="0095528F" w:rsidRDefault="0095528F" w:rsidP="0095528F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95528F" w:rsidRPr="0095528F" w:rsidRDefault="0095528F" w:rsidP="0095528F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95528F">
        <w:rPr>
          <w:noProof/>
          <w:w w:val="100"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6DF86" wp14:editId="3E89EFDF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A2DD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95528F" w:rsidRPr="0095528F" w:rsidRDefault="0095528F" w:rsidP="0095528F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Pr="0095528F">
        <w:rPr>
          <w:sz w:val="17"/>
        </w:rPr>
        <w:t xml:space="preserve">The present circular, which cancels and supersedes information circular </w:t>
      </w:r>
      <w:hyperlink r:id="rId13" w:history="1">
        <w:r w:rsidRPr="0095528F">
          <w:rPr>
            <w:rStyle w:val="Hyperlink"/>
            <w:sz w:val="17"/>
          </w:rPr>
          <w:t>ST/IC/2015/25</w:t>
        </w:r>
      </w:hyperlink>
      <w:r w:rsidRPr="0095528F">
        <w:rPr>
          <w:sz w:val="17"/>
        </w:rPr>
        <w:t>, will be in effect until further notice.</w:t>
      </w:r>
    </w:p>
    <w:p w:rsidR="00B77370" w:rsidRDefault="00B77370" w:rsidP="00B77370">
      <w:pPr>
        <w:pStyle w:val="TitleHCH"/>
        <w:ind w:right="1260"/>
      </w:pPr>
      <w:r>
        <w:tab/>
      </w:r>
      <w:r>
        <w:tab/>
      </w:r>
      <w:r w:rsidRPr="004C4D80">
        <w:t>Information circular</w:t>
      </w:r>
      <w:r w:rsidRPr="00B77370">
        <w:rPr>
          <w:b w:val="0"/>
          <w:spacing w:val="4"/>
          <w:position w:val="4"/>
          <w:sz w:val="20"/>
        </w:rPr>
        <w:t>*</w:t>
      </w:r>
    </w:p>
    <w:p w:rsidR="00B77370" w:rsidRDefault="00B77370" w:rsidP="00B77370">
      <w:pPr>
        <w:pStyle w:val="HCh"/>
        <w:ind w:left="1267"/>
      </w:pPr>
    </w:p>
    <w:p w:rsidR="00B77370" w:rsidRDefault="00B77370" w:rsidP="00B77370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4C4D80">
        <w:t>Members of the staff</w:t>
      </w:r>
    </w:p>
    <w:p w:rsidR="00B77370" w:rsidRPr="00D366B0" w:rsidRDefault="00B77370" w:rsidP="00B77370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B77370" w:rsidRDefault="00B77370" w:rsidP="00B77370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4C4D80">
        <w:t>The Assistant Secretary-General for Human Resources Management</w:t>
      </w:r>
    </w:p>
    <w:p w:rsidR="00B77370" w:rsidRDefault="00B77370" w:rsidP="00B77370">
      <w:pPr>
        <w:tabs>
          <w:tab w:val="right" w:pos="1080"/>
          <w:tab w:val="left" w:pos="1267"/>
        </w:tabs>
        <w:ind w:left="1267" w:hanging="1267"/>
      </w:pPr>
    </w:p>
    <w:p w:rsidR="00B77370" w:rsidRDefault="00B77370" w:rsidP="0065325C">
      <w:pPr>
        <w:pStyle w:val="TitleH1"/>
        <w:ind w:right="1260"/>
      </w:pPr>
      <w:r>
        <w:tab/>
      </w:r>
      <w:r w:rsidR="0065325C" w:rsidRPr="0065325C">
        <w:rPr>
          <w:b w:val="0"/>
          <w:sz w:val="20"/>
        </w:rPr>
        <w:t>Subject:</w:t>
      </w:r>
      <w:r>
        <w:tab/>
      </w:r>
      <w:r w:rsidRPr="0065325C">
        <w:rPr>
          <w:spacing w:val="2"/>
          <w:w w:val="100"/>
        </w:rPr>
        <w:t>Rates of daily subsistence allowance in New York, Geneva and Vienna</w:t>
      </w:r>
    </w:p>
    <w:p w:rsidR="00B77370" w:rsidRPr="004C4D80" w:rsidRDefault="00B77370" w:rsidP="00B77370">
      <w:pPr>
        <w:pStyle w:val="SingleTxt"/>
        <w:spacing w:after="0" w:line="120" w:lineRule="exact"/>
        <w:rPr>
          <w:sz w:val="10"/>
        </w:rPr>
      </w:pPr>
    </w:p>
    <w:p w:rsidR="00B77370" w:rsidRPr="004C4D80" w:rsidRDefault="00B77370" w:rsidP="00B77370">
      <w:pPr>
        <w:pStyle w:val="SingleTxt"/>
        <w:spacing w:after="0" w:line="120" w:lineRule="exact"/>
        <w:rPr>
          <w:sz w:val="10"/>
        </w:rPr>
      </w:pPr>
    </w:p>
    <w:p w:rsidR="0065325C" w:rsidRDefault="0065325C" w:rsidP="0065325C">
      <w:pPr>
        <w:pStyle w:val="SingleTxt"/>
      </w:pPr>
      <w:r>
        <w:t>1.</w:t>
      </w:r>
      <w:r>
        <w:tab/>
        <w:t xml:space="preserve">Pursuant to section 3.4 of administrative instruction </w:t>
      </w:r>
      <w:r w:rsidRPr="00A72CC3">
        <w:t>ST/AI/2014/2</w:t>
      </w:r>
      <w:r>
        <w:t>, on the system of daily subsistence allowance, the purpose of the present circular is to inform the staff of the schedule of rates of daily subsistence allowance applicable to the above-mentioned duty stations and their effective dates, as set out in the annex to the present circular.</w:t>
      </w:r>
    </w:p>
    <w:p w:rsidR="0065325C" w:rsidRDefault="0065325C" w:rsidP="0065325C">
      <w:pPr>
        <w:pStyle w:val="SingleTxt"/>
      </w:pPr>
      <w:r>
        <w:t>2.</w:t>
      </w:r>
      <w:r>
        <w:tab/>
        <w:t xml:space="preserve">The schedule set out in the annex replaces the schedule contained in the annex to information circular </w:t>
      </w:r>
      <w:r w:rsidRPr="00A72CC3">
        <w:t>ST/</w:t>
      </w:r>
      <w:bookmarkStart w:id="0" w:name="_GoBack"/>
      <w:bookmarkEnd w:id="0"/>
      <w:r w:rsidRPr="00A72CC3">
        <w:t>IC/2015/25</w:t>
      </w:r>
      <w:r>
        <w:t>.</w:t>
      </w:r>
    </w:p>
    <w:p w:rsidR="0065325C" w:rsidRDefault="0065325C">
      <w:pPr>
        <w:suppressAutoHyphens w:val="0"/>
        <w:spacing w:after="200" w:line="276" w:lineRule="auto"/>
      </w:pPr>
      <w:r>
        <w:br w:type="page"/>
      </w:r>
    </w:p>
    <w:p w:rsidR="0065325C" w:rsidRDefault="0065325C" w:rsidP="0065325C">
      <w:pPr>
        <w:pStyle w:val="HCh"/>
        <w:ind w:left="1267" w:right="1260" w:hanging="1267"/>
      </w:pPr>
      <w:r>
        <w:lastRenderedPageBreak/>
        <w:t>Annex</w:t>
      </w:r>
    </w:p>
    <w:p w:rsidR="0065325C" w:rsidRPr="0065325C" w:rsidRDefault="0065325C" w:rsidP="0065325C">
      <w:pPr>
        <w:pStyle w:val="SingleTxt"/>
        <w:spacing w:after="0" w:line="120" w:lineRule="exact"/>
        <w:rPr>
          <w:sz w:val="10"/>
        </w:rPr>
      </w:pPr>
    </w:p>
    <w:p w:rsidR="0065325C" w:rsidRDefault="0065325C" w:rsidP="0065325C">
      <w:pPr>
        <w:pStyle w:val="HCh"/>
        <w:ind w:left="1267" w:right="1260" w:hanging="1267"/>
      </w:pPr>
      <w:r>
        <w:tab/>
      </w:r>
      <w:r>
        <w:tab/>
        <w:t>Rates of daily subsistence allowance at Headquarters, Geneva and Vienna</w:t>
      </w:r>
    </w:p>
    <w:p w:rsidR="0065325C" w:rsidRPr="0065325C" w:rsidRDefault="0065325C" w:rsidP="0065325C">
      <w:pPr>
        <w:pStyle w:val="SingleTxt"/>
        <w:spacing w:after="0" w:line="120" w:lineRule="exact"/>
        <w:rPr>
          <w:sz w:val="10"/>
        </w:rPr>
      </w:pPr>
    </w:p>
    <w:p w:rsidR="0065325C" w:rsidRPr="0065325C" w:rsidRDefault="0065325C" w:rsidP="0065325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1134"/>
        <w:gridCol w:w="1305"/>
        <w:gridCol w:w="951"/>
        <w:gridCol w:w="951"/>
      </w:tblGrid>
      <w:tr w:rsidR="0065325C" w:rsidRPr="0065325C" w:rsidTr="007E3E9A">
        <w:trPr>
          <w:tblHeader/>
        </w:trPr>
        <w:tc>
          <w:tcPr>
            <w:tcW w:w="4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jc w:val="left"/>
              <w:rPr>
                <w:i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E3E9A" w:rsidRDefault="0065325C" w:rsidP="007E3E9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0" w:line="160" w:lineRule="exact"/>
              <w:ind w:left="144" w:right="40"/>
              <w:jc w:val="right"/>
              <w:rPr>
                <w:i/>
                <w:sz w:val="14"/>
              </w:rPr>
            </w:pPr>
            <w:r w:rsidRPr="0065325C">
              <w:rPr>
                <w:i/>
                <w:sz w:val="14"/>
              </w:rPr>
              <w:t>Headquarters</w:t>
            </w:r>
            <w:r w:rsidRPr="007E3E9A">
              <w:rPr>
                <w:i/>
                <w:sz w:val="14"/>
                <w:vertAlign w:val="superscript"/>
              </w:rPr>
              <w:t>a</w:t>
            </w:r>
          </w:p>
          <w:p w:rsidR="0065325C" w:rsidRPr="0065325C" w:rsidRDefault="0065325C" w:rsidP="007E3E9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65325C">
              <w:rPr>
                <w:i/>
                <w:sz w:val="14"/>
              </w:rPr>
              <w:t>(US$ per day)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E3E9A" w:rsidRDefault="0065325C" w:rsidP="007E3E9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0" w:line="160" w:lineRule="exact"/>
              <w:ind w:left="144" w:right="40"/>
              <w:jc w:val="right"/>
              <w:rPr>
                <w:i/>
                <w:sz w:val="14"/>
              </w:rPr>
            </w:pPr>
            <w:r w:rsidRPr="0065325C">
              <w:rPr>
                <w:i/>
                <w:sz w:val="14"/>
              </w:rPr>
              <w:t>Geneva</w:t>
            </w:r>
            <w:r w:rsidRPr="007E3E9A">
              <w:rPr>
                <w:i/>
                <w:sz w:val="14"/>
                <w:vertAlign w:val="superscript"/>
              </w:rPr>
              <w:t>b</w:t>
            </w:r>
          </w:p>
          <w:p w:rsidR="0065325C" w:rsidRPr="0065325C" w:rsidRDefault="0065325C" w:rsidP="007E3E9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after="81" w:line="160" w:lineRule="exact"/>
              <w:ind w:left="0" w:right="40"/>
              <w:jc w:val="right"/>
              <w:rPr>
                <w:i/>
                <w:sz w:val="14"/>
              </w:rPr>
            </w:pPr>
            <w:r w:rsidRPr="0065325C">
              <w:rPr>
                <w:i/>
                <w:sz w:val="14"/>
              </w:rPr>
              <w:t>(SwF per day)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E3E9A" w:rsidRDefault="0065325C" w:rsidP="007E3E9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0" w:line="160" w:lineRule="exact"/>
              <w:ind w:left="144" w:right="40"/>
              <w:jc w:val="right"/>
              <w:rPr>
                <w:i/>
                <w:sz w:val="14"/>
              </w:rPr>
            </w:pPr>
            <w:r w:rsidRPr="0065325C">
              <w:rPr>
                <w:i/>
                <w:sz w:val="14"/>
              </w:rPr>
              <w:t>Vienna</w:t>
            </w:r>
            <w:r w:rsidRPr="007E3E9A">
              <w:rPr>
                <w:i/>
                <w:sz w:val="14"/>
                <w:vertAlign w:val="superscript"/>
              </w:rPr>
              <w:t>c</w:t>
            </w:r>
          </w:p>
          <w:p w:rsidR="0065325C" w:rsidRPr="0065325C" w:rsidRDefault="0065325C" w:rsidP="007E3E9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after="81" w:line="160" w:lineRule="exact"/>
              <w:ind w:left="0" w:right="40"/>
              <w:jc w:val="right"/>
              <w:rPr>
                <w:i/>
                <w:sz w:val="14"/>
              </w:rPr>
            </w:pPr>
            <w:r w:rsidRPr="0065325C">
              <w:rPr>
                <w:i/>
                <w:sz w:val="14"/>
              </w:rPr>
              <w:t>(€ per day)</w:t>
            </w:r>
          </w:p>
        </w:tc>
      </w:tr>
      <w:tr w:rsidR="007E3E9A" w:rsidRPr="0065325C" w:rsidTr="007E3E9A">
        <w:trPr>
          <w:trHeight w:hRule="exact" w:val="115"/>
          <w:tblHeader/>
        </w:trPr>
        <w:tc>
          <w:tcPr>
            <w:tcW w:w="42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65325C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65325C">
              <w:rPr>
                <w:sz w:val="17"/>
              </w:rPr>
              <w:t>(i)</w:t>
            </w:r>
            <w:r w:rsidR="007E3E9A">
              <w:rPr>
                <w:sz w:val="17"/>
              </w:rPr>
              <w:tab/>
            </w:r>
            <w:r w:rsidRPr="007E3E9A">
              <w:rPr>
                <w:i/>
                <w:sz w:val="17"/>
              </w:rPr>
              <w:t>First 60 days</w:t>
            </w:r>
            <w:r w:rsidRPr="0065325C">
              <w:rPr>
                <w:sz w:val="17"/>
              </w:rPr>
              <w:t>, consecutive or otherwise, at the temporary duty station, all staff: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7E3E9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First 30 days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Next 30 days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7E3E9A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 w:rsidR="0065325C" w:rsidRPr="0065325C">
              <w:rPr>
                <w:sz w:val="17"/>
              </w:rPr>
              <w:t>Standard year-round rate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410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349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383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256</w:t>
            </w: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7E3E9A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 w:rsidR="0065325C" w:rsidRPr="0065325C">
              <w:rPr>
                <w:sz w:val="17"/>
              </w:rPr>
              <w:t>Special hotels, January-August</w:t>
            </w:r>
            <w:r w:rsidR="0065325C" w:rsidRPr="0001252D">
              <w:rPr>
                <w:i/>
                <w:sz w:val="17"/>
                <w:vertAlign w:val="superscript"/>
              </w:rPr>
              <w:t>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500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425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7E3E9A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 w:rsidR="0065325C" w:rsidRPr="0065325C">
              <w:rPr>
                <w:sz w:val="17"/>
              </w:rPr>
              <w:t>Special hotels, September-December</w:t>
            </w:r>
            <w:r w:rsidR="0065325C" w:rsidRPr="0001252D">
              <w:rPr>
                <w:i/>
                <w:sz w:val="17"/>
                <w:vertAlign w:val="superscript"/>
              </w:rPr>
              <w:t>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600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510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65325C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65325C">
              <w:rPr>
                <w:sz w:val="17"/>
              </w:rPr>
              <w:t>(ii)</w:t>
            </w:r>
            <w:r w:rsidR="007E3E9A">
              <w:rPr>
                <w:sz w:val="17"/>
              </w:rPr>
              <w:tab/>
            </w:r>
            <w:r w:rsidRPr="007E3E9A">
              <w:rPr>
                <w:i/>
                <w:sz w:val="17"/>
              </w:rPr>
              <w:t>During the next 60 days</w:t>
            </w:r>
            <w:r w:rsidRPr="0065325C">
              <w:rPr>
                <w:sz w:val="17"/>
              </w:rPr>
              <w:t>, consecutive or otherwise, at the temporary duty station, all staff: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7E3E9A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 w:rsidR="0065325C" w:rsidRPr="0065325C">
              <w:rPr>
                <w:sz w:val="17"/>
              </w:rPr>
              <w:t>Standard year-round rate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273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287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192</w:t>
            </w: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7E3E9A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 w:rsidR="0065325C" w:rsidRPr="0065325C">
              <w:rPr>
                <w:sz w:val="17"/>
              </w:rPr>
              <w:t>Special hotels, January-August</w:t>
            </w:r>
            <w:r w:rsidR="0065325C" w:rsidRPr="0001252D">
              <w:rPr>
                <w:i/>
                <w:sz w:val="17"/>
                <w:vertAlign w:val="superscript"/>
              </w:rPr>
              <w:t>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333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7E3E9A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 w:rsidR="0065325C" w:rsidRPr="0065325C">
              <w:rPr>
                <w:sz w:val="17"/>
              </w:rPr>
              <w:t>Special hotels, September-December</w:t>
            </w:r>
            <w:r w:rsidR="0065325C" w:rsidRPr="0001252D">
              <w:rPr>
                <w:i/>
                <w:sz w:val="17"/>
                <w:vertAlign w:val="superscript"/>
              </w:rPr>
              <w:t>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400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65325C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65325C">
              <w:rPr>
                <w:sz w:val="17"/>
              </w:rPr>
              <w:t>(iii)</w:t>
            </w:r>
            <w:r w:rsidR="007E3E9A">
              <w:rPr>
                <w:sz w:val="17"/>
              </w:rPr>
              <w:tab/>
            </w:r>
            <w:r w:rsidRPr="0001252D">
              <w:rPr>
                <w:i/>
                <w:sz w:val="17"/>
              </w:rPr>
              <w:t>After 120 days</w:t>
            </w:r>
            <w:r w:rsidRPr="0065325C">
              <w:rPr>
                <w:sz w:val="17"/>
              </w:rPr>
              <w:t>, consecutive or otherwise, at the temporary duty station, all staff: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01252D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 w:rsidR="0065325C" w:rsidRPr="0065325C">
              <w:rPr>
                <w:sz w:val="17"/>
              </w:rPr>
              <w:t>Standard year-round rate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205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230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154</w:t>
            </w:r>
          </w:p>
        </w:tc>
      </w:tr>
      <w:tr w:rsidR="0065325C" w:rsidRPr="0065325C" w:rsidTr="007E3E9A">
        <w:tc>
          <w:tcPr>
            <w:tcW w:w="4232" w:type="dxa"/>
            <w:shd w:val="clear" w:color="auto" w:fill="auto"/>
            <w:vAlign w:val="bottom"/>
          </w:tcPr>
          <w:p w:rsidR="0065325C" w:rsidRPr="0065325C" w:rsidRDefault="0001252D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 w:rsidR="0065325C" w:rsidRPr="0065325C">
              <w:rPr>
                <w:sz w:val="17"/>
              </w:rPr>
              <w:t>Special hotels, January-August</w:t>
            </w:r>
            <w:r w:rsidR="0065325C" w:rsidRPr="0001252D">
              <w:rPr>
                <w:i/>
                <w:sz w:val="17"/>
                <w:vertAlign w:val="superscript"/>
              </w:rPr>
              <w:t>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250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65325C" w:rsidRPr="0065325C" w:rsidTr="007E3E9A">
        <w:tc>
          <w:tcPr>
            <w:tcW w:w="42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325C" w:rsidRPr="0065325C" w:rsidRDefault="0001252D" w:rsidP="000125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3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 w:rsidR="0065325C" w:rsidRPr="0065325C">
              <w:rPr>
                <w:sz w:val="17"/>
              </w:rPr>
              <w:t>Special hotels, September-December</w:t>
            </w:r>
            <w:r w:rsidRPr="0001252D">
              <w:rPr>
                <w:i/>
                <w:sz w:val="17"/>
                <w:vertAlign w:val="superscript"/>
              </w:rPr>
              <w:t>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65325C">
              <w:rPr>
                <w:sz w:val="17"/>
              </w:rPr>
              <w:t>300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325C" w:rsidRPr="0065325C" w:rsidRDefault="0065325C" w:rsidP="006532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</w:tbl>
    <w:p w:rsidR="0065325C" w:rsidRPr="0001252D" w:rsidRDefault="0065325C" w:rsidP="0001252D">
      <w:pPr>
        <w:pStyle w:val="SingleTxt"/>
        <w:spacing w:after="0" w:line="120" w:lineRule="exact"/>
        <w:rPr>
          <w:sz w:val="10"/>
        </w:rPr>
      </w:pPr>
    </w:p>
    <w:p w:rsidR="0065325C" w:rsidRDefault="0065325C" w:rsidP="0001252D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hanging="288"/>
      </w:pPr>
      <w:r>
        <w:tab/>
      </w:r>
      <w:r w:rsidRPr="0001252D">
        <w:rPr>
          <w:i/>
          <w:vertAlign w:val="superscript"/>
        </w:rPr>
        <w:t>a</w:t>
      </w:r>
      <w:r>
        <w:tab/>
        <w:t>Effective 1 August 2017.</w:t>
      </w:r>
    </w:p>
    <w:p w:rsidR="0065325C" w:rsidRDefault="0065325C" w:rsidP="0001252D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hanging="288"/>
      </w:pPr>
      <w:r>
        <w:tab/>
      </w:r>
      <w:r w:rsidRPr="0001252D">
        <w:rPr>
          <w:i/>
          <w:vertAlign w:val="superscript"/>
        </w:rPr>
        <w:t>b</w:t>
      </w:r>
      <w:r>
        <w:tab/>
        <w:t>Effective 1 July 2017.</w:t>
      </w:r>
    </w:p>
    <w:p w:rsidR="0065325C" w:rsidRDefault="0065325C" w:rsidP="0001252D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hanging="288"/>
      </w:pPr>
      <w:r>
        <w:tab/>
      </w:r>
      <w:r w:rsidRPr="0001252D">
        <w:rPr>
          <w:i/>
          <w:vertAlign w:val="superscript"/>
        </w:rPr>
        <w:t>c</w:t>
      </w:r>
      <w:r>
        <w:t xml:space="preserve"> </w:t>
      </w:r>
      <w:r>
        <w:tab/>
        <w:t>Effective 1 September 2016.</w:t>
      </w:r>
    </w:p>
    <w:p w:rsidR="0065325C" w:rsidRDefault="0065325C" w:rsidP="0001252D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hanging="288"/>
      </w:pPr>
      <w:r>
        <w:tab/>
      </w:r>
      <w:r w:rsidRPr="0001252D">
        <w:rPr>
          <w:i/>
          <w:vertAlign w:val="superscript"/>
        </w:rPr>
        <w:t>d</w:t>
      </w:r>
      <w:r>
        <w:tab/>
      </w:r>
      <w:r>
        <w:tab/>
        <w:t xml:space="preserve">The hotels in this category are: </w:t>
      </w:r>
      <w:r w:rsidR="00CD07F8">
        <w:t>Affinia — Shelburne Murray Hill, Bentley, Double Tree by Hilton — Times Square, Grand Hyatt, Jolly Madison, One UN New York, Roger Smith and Seton.</w:t>
      </w:r>
    </w:p>
    <w:p w:rsidR="0065325C" w:rsidRDefault="0001252D" w:rsidP="0001252D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hanging="288"/>
      </w:pPr>
      <w:r>
        <w:tab/>
      </w:r>
      <w:r w:rsidRPr="0001252D">
        <w:rPr>
          <w:i/>
          <w:vertAlign w:val="superscript"/>
        </w:rPr>
        <w:t>e</w:t>
      </w:r>
      <w:r w:rsidR="0065325C">
        <w:tab/>
        <w:t xml:space="preserve">The hotels in this category are: </w:t>
      </w:r>
      <w:r w:rsidR="00CD07F8">
        <w:t>Affinia — Shelburne Murray Hill, Bentley, Double Tree by Hilton — Times Square, One UN New York, Roger Smith, Seton and The Renwick.</w:t>
      </w:r>
    </w:p>
    <w:p w:rsidR="00B33419" w:rsidRPr="00B77370" w:rsidRDefault="002422DE" w:rsidP="00B33419">
      <w:pPr>
        <w:pStyle w:val="SingleTxt"/>
      </w:pPr>
      <w:bookmarkStart w:id="1" w:name="BeginPage"/>
      <w:bookmarkEnd w:id="1"/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B86A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B33419" w:rsidRPr="00B77370" w:rsidSect="00B77370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FB" w:rsidRDefault="00AB52FB" w:rsidP="00B33419">
      <w:pPr>
        <w:spacing w:line="240" w:lineRule="auto"/>
      </w:pPr>
      <w:r>
        <w:separator/>
      </w:r>
    </w:p>
  </w:endnote>
  <w:endnote w:type="continuationSeparator" w:id="0">
    <w:p w:rsidR="00AB52FB" w:rsidRDefault="00AB52FB" w:rsidP="00B33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33419" w:rsidTr="00B33419">
      <w:tc>
        <w:tcPr>
          <w:tcW w:w="5028" w:type="dxa"/>
          <w:shd w:val="clear" w:color="auto" w:fill="auto"/>
        </w:tcPr>
        <w:p w:rsidR="00B33419" w:rsidRPr="00B33419" w:rsidRDefault="00B33419" w:rsidP="00B3341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B5E0F">
            <w:rPr>
              <w:b w:val="0"/>
              <w:w w:val="103"/>
              <w:sz w:val="14"/>
            </w:rPr>
            <w:t>17-12524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B33419" w:rsidRPr="00B33419" w:rsidRDefault="00B33419" w:rsidP="00B3341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72CC3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72CC3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B33419" w:rsidRPr="00B33419" w:rsidRDefault="00B33419" w:rsidP="00B33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33419" w:rsidTr="00B33419">
      <w:tc>
        <w:tcPr>
          <w:tcW w:w="5028" w:type="dxa"/>
          <w:shd w:val="clear" w:color="auto" w:fill="auto"/>
        </w:tcPr>
        <w:p w:rsidR="00B33419" w:rsidRPr="00B33419" w:rsidRDefault="00B33419" w:rsidP="00B3341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B5E0F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B5E0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B33419" w:rsidRPr="00B33419" w:rsidRDefault="00B33419" w:rsidP="00B3341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B5E0F">
            <w:rPr>
              <w:b w:val="0"/>
              <w:w w:val="103"/>
              <w:sz w:val="14"/>
            </w:rPr>
            <w:t>17-12524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B33419" w:rsidRPr="00B33419" w:rsidRDefault="00B33419" w:rsidP="00B33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B33419" w:rsidTr="00B33419">
      <w:tc>
        <w:tcPr>
          <w:tcW w:w="3801" w:type="dxa"/>
        </w:tcPr>
        <w:p w:rsidR="00B33419" w:rsidRDefault="00B33419" w:rsidP="00B33419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C7A9739" wp14:editId="06086ADC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20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20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17-12524 (E)    250717</w:t>
          </w:r>
        </w:p>
        <w:p w:rsidR="00B33419" w:rsidRPr="00B33419" w:rsidRDefault="00B33419" w:rsidP="00B33419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*1712524*</w:t>
          </w:r>
        </w:p>
      </w:tc>
      <w:tc>
        <w:tcPr>
          <w:tcW w:w="5028" w:type="dxa"/>
        </w:tcPr>
        <w:p w:rsidR="00B33419" w:rsidRDefault="00B33419" w:rsidP="00B33419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0BF824DC" wp14:editId="49AAC278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3419" w:rsidRPr="00B33419" w:rsidRDefault="00B33419" w:rsidP="00B3341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FB" w:rsidRDefault="00AB52FB" w:rsidP="00B33419">
      <w:pPr>
        <w:spacing w:line="240" w:lineRule="auto"/>
      </w:pPr>
      <w:r>
        <w:separator/>
      </w:r>
    </w:p>
  </w:footnote>
  <w:footnote w:type="continuationSeparator" w:id="0">
    <w:p w:rsidR="00AB52FB" w:rsidRDefault="00AB52FB" w:rsidP="00B33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B33419" w:rsidTr="00B33419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33419" w:rsidRPr="00B33419" w:rsidRDefault="00A72CC3" w:rsidP="00B33419">
          <w:pPr>
            <w:pStyle w:val="Header"/>
            <w:spacing w:after="80"/>
            <w:rPr>
              <w:b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637430" o:spid="_x0000_s12290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  <w:r w:rsidR="00B33419">
            <w:rPr>
              <w:b/>
            </w:rPr>
            <w:fldChar w:fldCharType="begin"/>
          </w:r>
          <w:r w:rsidR="00B33419">
            <w:rPr>
              <w:b/>
            </w:rPr>
            <w:instrText xml:space="preserve"> DOCVARIABLE "sss1" \* MERGEFORMAT </w:instrText>
          </w:r>
          <w:r w:rsidR="00B33419">
            <w:rPr>
              <w:b/>
            </w:rPr>
            <w:fldChar w:fldCharType="separate"/>
          </w:r>
          <w:r w:rsidR="009B5E0F">
            <w:rPr>
              <w:b/>
            </w:rPr>
            <w:t>ST/IC/2017/20</w:t>
          </w:r>
          <w:r w:rsidR="00B33419"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B33419" w:rsidRDefault="00B33419" w:rsidP="00B33419">
          <w:pPr>
            <w:pStyle w:val="Header"/>
          </w:pPr>
        </w:p>
      </w:tc>
    </w:tr>
  </w:tbl>
  <w:p w:rsidR="00B33419" w:rsidRPr="00B33419" w:rsidRDefault="00B33419" w:rsidP="00B33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B33419" w:rsidTr="00B33419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33419" w:rsidRDefault="00A72CC3" w:rsidP="00B33419">
          <w:pPr>
            <w:pStyle w:val="Head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637431" o:spid="_x0000_s12291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B33419" w:rsidRPr="00B33419" w:rsidRDefault="00B33419" w:rsidP="00B3341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B5E0F">
            <w:rPr>
              <w:b/>
            </w:rPr>
            <w:t>ST/IC/2017/20</w:t>
          </w:r>
          <w:r>
            <w:rPr>
              <w:b/>
            </w:rPr>
            <w:fldChar w:fldCharType="end"/>
          </w:r>
        </w:p>
      </w:tc>
    </w:tr>
  </w:tbl>
  <w:p w:rsidR="00B33419" w:rsidRPr="00B33419" w:rsidRDefault="00B33419" w:rsidP="00B33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B33419" w:rsidTr="00B3341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33419" w:rsidRDefault="00A72CC3" w:rsidP="00B33419">
          <w:pPr>
            <w:pStyle w:val="Header"/>
            <w:spacing w:after="120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637429" o:spid="_x0000_s12289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33419" w:rsidRPr="00B33419" w:rsidRDefault="00B33419" w:rsidP="00B3341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33419" w:rsidRDefault="00B33419" w:rsidP="00B33419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B33419" w:rsidRPr="00B33419" w:rsidRDefault="00B33419" w:rsidP="00B3341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/IC/2017/20</w:t>
          </w:r>
        </w:p>
      </w:tc>
    </w:tr>
    <w:tr w:rsidR="00B33419" w:rsidRPr="00B33419" w:rsidTr="00B33419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3419" w:rsidRPr="00B33419" w:rsidRDefault="00B33419" w:rsidP="00B3341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4EB76E26" wp14:editId="6E09792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3419" w:rsidRPr="00B33419" w:rsidRDefault="00B33419" w:rsidP="00B33419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3419" w:rsidRPr="00B33419" w:rsidRDefault="00B33419" w:rsidP="00B33419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3419" w:rsidRDefault="00B33419" w:rsidP="00B33419">
          <w:pPr>
            <w:pStyle w:val="Publication"/>
            <w:spacing w:before="240"/>
            <w:rPr>
              <w:color w:val="010000"/>
            </w:rPr>
          </w:pPr>
        </w:p>
        <w:p w:rsidR="00B33419" w:rsidRDefault="00B33419" w:rsidP="00B33419">
          <w:r>
            <w:t>24 July 2017</w:t>
          </w:r>
        </w:p>
        <w:p w:rsidR="00B33419" w:rsidRDefault="00B33419" w:rsidP="00B33419"/>
        <w:p w:rsidR="00B33419" w:rsidRDefault="00B33419" w:rsidP="00B33419"/>
        <w:p w:rsidR="00CD07F8" w:rsidRDefault="00CD07F8" w:rsidP="00B33419"/>
        <w:p w:rsidR="00CD07F8" w:rsidRDefault="00CD07F8" w:rsidP="00B33419"/>
        <w:p w:rsidR="00CD07F8" w:rsidRPr="00F97254" w:rsidRDefault="00CD07F8" w:rsidP="00CD07F8">
          <w:pPr>
            <w:rPr>
              <w:b/>
              <w:i/>
              <w:color w:val="0000FF"/>
            </w:rPr>
          </w:pPr>
          <w:r w:rsidRPr="00F97254">
            <w:rPr>
              <w:b/>
              <w:i/>
              <w:color w:val="0000FF"/>
            </w:rPr>
            <w:t>(Amend</w:t>
          </w:r>
          <w:r>
            <w:rPr>
              <w:b/>
              <w:i/>
              <w:color w:val="0000FF"/>
            </w:rPr>
            <w:t>ed text to include ST/IC/2017/20/Corr.1 issued on    4 August</w:t>
          </w:r>
          <w:r w:rsidRPr="00F97254">
            <w:rPr>
              <w:b/>
              <w:i/>
              <w:color w:val="0000FF"/>
            </w:rPr>
            <w:t xml:space="preserve"> 2017)</w:t>
          </w:r>
        </w:p>
        <w:p w:rsidR="00CD07F8" w:rsidRPr="00B33419" w:rsidRDefault="00CD07F8" w:rsidP="00B33419"/>
      </w:tc>
    </w:tr>
  </w:tbl>
  <w:p w:rsidR="00B33419" w:rsidRPr="00B33419" w:rsidRDefault="00B33419" w:rsidP="00B3341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hyphenationZone w:val="20"/>
  <w:doNotHyphenateCaps/>
  <w:evenAndOddHeaders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DAzM7UwszAxMbRU0lEKTi0uzszPAykwrAUAYMi0AiwAAAA="/>
    <w:docVar w:name="Barcode" w:val="*1712524*"/>
    <w:docVar w:name="CreationDt" w:val="25/07/2017 6:46: PM"/>
    <w:docVar w:name="DocCategory" w:val="Doc"/>
    <w:docVar w:name="DocType" w:val="Final"/>
    <w:docVar w:name="DutyStation" w:val="New York"/>
    <w:docVar w:name="FooterJN" w:val="17-12524"/>
    <w:docVar w:name="jobn" w:val="17-12524 (E)"/>
    <w:docVar w:name="jobnDT" w:val="17-12524 (E)   250717"/>
    <w:docVar w:name="jobnDTDT" w:val="17-12524 (E)   250717   250717"/>
    <w:docVar w:name="JobNo" w:val="1712524E"/>
    <w:docVar w:name="JobNo2" w:val="1722712E"/>
    <w:docVar w:name="LocalDrive" w:val="0"/>
    <w:docVar w:name="OandT" w:val="GR"/>
    <w:docVar w:name="sss1" w:val="ST/IC/2017/20"/>
    <w:docVar w:name="sss2" w:val="-"/>
    <w:docVar w:name="Symbol1" w:val="ST/IC/2017/20"/>
    <w:docVar w:name="Symbol2" w:val="-"/>
  </w:docVars>
  <w:rsids>
    <w:rsidRoot w:val="001B6429"/>
    <w:rsid w:val="0001252D"/>
    <w:rsid w:val="00026F36"/>
    <w:rsid w:val="000B66B2"/>
    <w:rsid w:val="001B6429"/>
    <w:rsid w:val="002422DE"/>
    <w:rsid w:val="003A5A23"/>
    <w:rsid w:val="00464CE0"/>
    <w:rsid w:val="005305E3"/>
    <w:rsid w:val="0065325C"/>
    <w:rsid w:val="007E3E9A"/>
    <w:rsid w:val="0095528F"/>
    <w:rsid w:val="009B5E0F"/>
    <w:rsid w:val="00A04562"/>
    <w:rsid w:val="00A138B1"/>
    <w:rsid w:val="00A72CC3"/>
    <w:rsid w:val="00AB52FB"/>
    <w:rsid w:val="00B33419"/>
    <w:rsid w:val="00B40B51"/>
    <w:rsid w:val="00B715A8"/>
    <w:rsid w:val="00B77370"/>
    <w:rsid w:val="00BA7B81"/>
    <w:rsid w:val="00C60360"/>
    <w:rsid w:val="00CD07F8"/>
    <w:rsid w:val="00E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docId w15:val="{E7F7C3EC-58BD-473E-A53E-48923F7D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562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A0456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A04562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A0456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A04562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A0456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A0456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A04562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A04562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A0456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A04562"/>
    <w:pPr>
      <w:ind w:left="1267" w:right="1267"/>
    </w:pPr>
  </w:style>
  <w:style w:type="paragraph" w:customStyle="1" w:styleId="SingleTxt">
    <w:name w:val="__Single Txt"/>
    <w:basedOn w:val="Normal"/>
    <w:rsid w:val="00A0456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A0456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A04562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A04562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A04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4562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A04562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A04562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A04562"/>
    <w:rPr>
      <w:sz w:val="6"/>
    </w:rPr>
  </w:style>
  <w:style w:type="paragraph" w:customStyle="1" w:styleId="Distribution">
    <w:name w:val="Distribution"/>
    <w:next w:val="Normal"/>
    <w:rsid w:val="00A04562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A0456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A04562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A04562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A04562"/>
  </w:style>
  <w:style w:type="character" w:customStyle="1" w:styleId="EndnoteTextChar">
    <w:name w:val="Endnote Text Char"/>
    <w:basedOn w:val="DefaultParagraphFont"/>
    <w:link w:val="EndnoteText"/>
    <w:semiHidden/>
    <w:rsid w:val="00A04562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A0456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04562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A0456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A0456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04562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A04562"/>
    <w:rPr>
      <w:color w:val="0000FF"/>
      <w:u w:val="none"/>
    </w:rPr>
  </w:style>
  <w:style w:type="character" w:styleId="LineNumber">
    <w:name w:val="line number"/>
    <w:rsid w:val="00A04562"/>
    <w:rPr>
      <w:sz w:val="14"/>
    </w:rPr>
  </w:style>
  <w:style w:type="paragraph" w:customStyle="1" w:styleId="Original">
    <w:name w:val="Original"/>
    <w:next w:val="Normal"/>
    <w:rsid w:val="00A0456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A04562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A04562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A0456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A0456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A04562"/>
  </w:style>
  <w:style w:type="paragraph" w:customStyle="1" w:styleId="Small">
    <w:name w:val="Small"/>
    <w:basedOn w:val="Normal"/>
    <w:next w:val="Normal"/>
    <w:rsid w:val="00A0456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A04562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A0456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A04562"/>
    <w:pPr>
      <w:ind w:left="1267" w:right="1267" w:hanging="1267"/>
    </w:pPr>
  </w:style>
  <w:style w:type="paragraph" w:customStyle="1" w:styleId="TitleH2">
    <w:name w:val="Title_H2"/>
    <w:basedOn w:val="H23"/>
    <w:qFormat/>
    <w:rsid w:val="00A04562"/>
  </w:style>
  <w:style w:type="paragraph" w:customStyle="1" w:styleId="XLarge">
    <w:name w:val="XLarge"/>
    <w:basedOn w:val="HM"/>
    <w:rsid w:val="00A04562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4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419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419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styleId="Revision">
    <w:name w:val="Revision"/>
    <w:hidden/>
    <w:uiPriority w:val="99"/>
    <w:semiHidden/>
    <w:rsid w:val="00BA7B8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15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2015/2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Romaka</dc:creator>
  <cp:lastModifiedBy>Maria Margareth Baccay</cp:lastModifiedBy>
  <cp:revision>4</cp:revision>
  <cp:lastPrinted>2017-07-26T00:41:00Z</cp:lastPrinted>
  <dcterms:created xsi:type="dcterms:W3CDTF">2017-07-31T15:33:00Z</dcterms:created>
  <dcterms:modified xsi:type="dcterms:W3CDTF">2018-01-04T17:20:00Z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1712524</vt:lpwstr>
  </property>
  <property fmtid="{D5CDD505-2E9C-101B-9397-08002B2CF9AE}" pid="3" name="ODSRefJobNo">
    <vt:lpwstr>1722712E</vt:lpwstr>
  </property>
  <property fmtid="{D5CDD505-2E9C-101B-9397-08002B2CF9AE}" pid="4" name="Symbol1">
    <vt:lpwstr>ST/IC/2017/20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Title1">
    <vt:lpwstr>		Information circular*_x000d__x000d_</vt:lpwstr>
  </property>
  <property fmtid="{D5CDD505-2E9C-101B-9397-08002B2CF9AE}" pid="9" name="Title2">
    <vt:lpwstr>	Subject:	Rates of daily subsistence allowance in New York, Geneva and Vienna_x000d__x000d_</vt:lpwstr>
  </property>
  <property fmtid="{D5CDD505-2E9C-101B-9397-08002B2CF9AE}" pid="10" name="Comment">
    <vt:lpwstr/>
  </property>
  <property fmtid="{D5CDD505-2E9C-101B-9397-08002B2CF9AE}" pid="11" name="DraftPages">
    <vt:lpwstr>2</vt:lpwstr>
  </property>
  <property fmtid="{D5CDD505-2E9C-101B-9397-08002B2CF9AE}" pid="12" name="Operator">
    <vt:lpwstr>dth (f)</vt:lpwstr>
  </property>
</Properties>
</file>