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FD6" w:rsidRDefault="009A2FD6" w:rsidP="009A2FD6">
      <w:pPr>
        <w:spacing w:line="240" w:lineRule="auto"/>
        <w:rPr>
          <w:sz w:val="2"/>
          <w:lang w:val="en-US"/>
        </w:rPr>
        <w:sectPr w:rsidR="009A2FD6" w:rsidSect="009A2FD6">
          <w:headerReference w:type="even" r:id="rId9"/>
          <w:headerReference w:type="default" r:id="rId10"/>
          <w:footerReference w:type="even" r:id="rId11"/>
          <w:footerReference w:type="default" r:id="rId12"/>
          <w:headerReference w:type="first" r:id="rId13"/>
          <w:footerReference w:type="first" r:id="rId14"/>
          <w:pgSz w:w="12240" w:h="15840"/>
          <w:pgMar w:top="1742" w:right="1200" w:bottom="1898" w:left="1200" w:header="576" w:footer="1030" w:gutter="0"/>
          <w:cols w:space="720"/>
          <w:titlePg/>
          <w:docGrid w:linePitch="360"/>
        </w:sectPr>
      </w:pPr>
    </w:p>
    <w:p w:rsidR="009952D3" w:rsidRDefault="009952D3" w:rsidP="009952D3">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lastRenderedPageBreak/>
        <w:tab/>
      </w:r>
      <w:r>
        <w:rPr>
          <w:lang w:val="fr-FR"/>
        </w:rPr>
        <w:tab/>
      </w:r>
      <w:r w:rsidRPr="009952D3">
        <w:rPr>
          <w:lang w:val="fr-FR"/>
        </w:rPr>
        <w:t xml:space="preserve">Instruction administrative </w:t>
      </w:r>
    </w:p>
    <w:p w:rsidR="009952D3" w:rsidRPr="009952D3" w:rsidRDefault="009952D3" w:rsidP="009952D3">
      <w:pPr>
        <w:pStyle w:val="SingleTxt"/>
        <w:spacing w:after="0" w:line="120" w:lineRule="exact"/>
        <w:rPr>
          <w:sz w:val="10"/>
          <w:lang w:val="fr-FR"/>
        </w:rPr>
      </w:pPr>
    </w:p>
    <w:p w:rsidR="009952D3" w:rsidRPr="009952D3" w:rsidRDefault="009952D3" w:rsidP="009952D3">
      <w:pPr>
        <w:pStyle w:val="SingleTxt"/>
        <w:spacing w:after="0" w:line="120" w:lineRule="exact"/>
        <w:rPr>
          <w:sz w:val="10"/>
          <w:lang w:val="fr-FR"/>
        </w:rPr>
      </w:pPr>
    </w:p>
    <w:p w:rsidR="009952D3" w:rsidRPr="009952D3" w:rsidRDefault="009952D3" w:rsidP="009952D3">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0" w:name="_GoBack"/>
      <w:r w:rsidRPr="009952D3">
        <w:rPr>
          <w:lang w:val="fr-FR"/>
        </w:rPr>
        <w:t xml:space="preserve">Prime de mobilité et de sujétion </w:t>
      </w:r>
      <w:bookmarkEnd w:id="0"/>
    </w:p>
    <w:p w:rsidR="009952D3" w:rsidRPr="009952D3" w:rsidRDefault="009952D3" w:rsidP="009952D3">
      <w:pPr>
        <w:pStyle w:val="SingleTxt"/>
        <w:spacing w:after="0" w:line="120" w:lineRule="exact"/>
        <w:rPr>
          <w:sz w:val="10"/>
          <w:lang w:val="fr-FR"/>
        </w:rPr>
      </w:pPr>
    </w:p>
    <w:p w:rsidR="009952D3" w:rsidRPr="009952D3" w:rsidRDefault="009952D3" w:rsidP="009952D3">
      <w:pPr>
        <w:pStyle w:val="SingleTxt"/>
        <w:spacing w:after="0" w:line="120" w:lineRule="exact"/>
        <w:rPr>
          <w:sz w:val="10"/>
          <w:lang w:val="fr-FR"/>
        </w:rPr>
      </w:pPr>
    </w:p>
    <w:p w:rsidR="009952D3" w:rsidRPr="009952D3" w:rsidRDefault="009952D3" w:rsidP="009952D3">
      <w:pPr>
        <w:pStyle w:val="SingleTxt"/>
        <w:rPr>
          <w:lang w:val="fr-FR"/>
        </w:rPr>
      </w:pPr>
      <w:r w:rsidRPr="009952D3">
        <w:rPr>
          <w:lang w:val="fr-FR"/>
        </w:rPr>
        <w:tab/>
        <w:t xml:space="preserve">En application de la sous-section 4.2 de la circulaire du Secrétaire général </w:t>
      </w:r>
      <w:hyperlink r:id="rId15" w:history="1">
        <w:r w:rsidRPr="005C3612">
          <w:rPr>
            <w:rStyle w:val="Hyperlink"/>
            <w:lang w:val="fr-FR"/>
          </w:rPr>
          <w:t>ST/SGB/2009/4</w:t>
        </w:r>
      </w:hyperlink>
      <w:r w:rsidRPr="009952D3">
        <w:rPr>
          <w:lang w:val="fr-FR"/>
        </w:rPr>
        <w:t xml:space="preserve"> et aux fins de donner effet à la résolution </w:t>
      </w:r>
      <w:hyperlink r:id="rId16" w:history="1">
        <w:r w:rsidRPr="005C3612">
          <w:rPr>
            <w:rStyle w:val="Hyperlink"/>
            <w:lang w:val="fr-FR"/>
          </w:rPr>
          <w:t>70/244</w:t>
        </w:r>
      </w:hyperlink>
      <w:r w:rsidRPr="009952D3">
        <w:rPr>
          <w:lang w:val="fr-FR"/>
        </w:rPr>
        <w:t xml:space="preserve"> de l’Assemblée générale et aux dispositions 3.13, 3.14 et 3.15 du Règlement du personnel, le Secrétaire général adjoint à la gestion promulgue ce qui suit</w:t>
      </w:r>
      <w:r>
        <w:rPr>
          <w:lang w:val="fr-FR"/>
        </w:rPr>
        <w:t> </w:t>
      </w:r>
      <w:r w:rsidRPr="009952D3">
        <w:rPr>
          <w:lang w:val="fr-FR"/>
        </w:rPr>
        <w:t xml:space="preserve">: </w:t>
      </w:r>
    </w:p>
    <w:p w:rsidR="009952D3" w:rsidRPr="009952D3" w:rsidRDefault="009952D3" w:rsidP="009952D3">
      <w:pPr>
        <w:pStyle w:val="SingleTxt"/>
        <w:spacing w:after="0" w:line="120" w:lineRule="exact"/>
        <w:rPr>
          <w:sz w:val="10"/>
          <w:lang w:val="fr-FR"/>
        </w:rPr>
      </w:pPr>
    </w:p>
    <w:p w:rsidR="009952D3" w:rsidRPr="009952D3" w:rsidRDefault="009952D3" w:rsidP="009952D3">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Section 1</w:t>
      </w:r>
      <w:r w:rsidRPr="009952D3">
        <w:rPr>
          <w:lang w:val="fr-FR"/>
        </w:rPr>
        <w:br/>
        <w:t>Dispositions générales</w:t>
      </w:r>
    </w:p>
    <w:p w:rsidR="009952D3" w:rsidRPr="009952D3" w:rsidRDefault="009952D3" w:rsidP="009952D3">
      <w:pPr>
        <w:pStyle w:val="SingleTxt"/>
        <w:spacing w:after="0" w:line="120" w:lineRule="exact"/>
        <w:rPr>
          <w:sz w:val="10"/>
          <w:lang w:val="fr-FR"/>
        </w:rPr>
      </w:pPr>
    </w:p>
    <w:p w:rsidR="009952D3" w:rsidRPr="009952D3" w:rsidRDefault="009952D3" w:rsidP="009952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Objet</w:t>
      </w:r>
    </w:p>
    <w:p w:rsidR="009952D3" w:rsidRPr="009952D3" w:rsidRDefault="009952D3" w:rsidP="009952D3">
      <w:pPr>
        <w:pStyle w:val="SingleTxt"/>
        <w:spacing w:after="0" w:line="120" w:lineRule="exact"/>
        <w:rPr>
          <w:sz w:val="10"/>
          <w:lang w:val="fr-FR"/>
        </w:rPr>
      </w:pPr>
    </w:p>
    <w:p w:rsidR="009952D3" w:rsidRPr="009952D3" w:rsidRDefault="009952D3" w:rsidP="001B0798">
      <w:pPr>
        <w:pStyle w:val="SingleTxt"/>
        <w:numPr>
          <w:ilvl w:val="0"/>
          <w:numId w:val="13"/>
        </w:numPr>
        <w:rPr>
          <w:lang w:val="fr-FR"/>
        </w:rPr>
      </w:pPr>
      <w:r w:rsidRPr="009952D3">
        <w:rPr>
          <w:lang w:val="fr-FR"/>
        </w:rPr>
        <w:t>La prime de mobilité et de sujétion</w:t>
      </w:r>
      <w:r w:rsidR="00041666">
        <w:rPr>
          <w:lang w:val="fr-FR"/>
        </w:rPr>
        <w:t xml:space="preserve"> (la « prime </w:t>
      </w:r>
      <w:r w:rsidRPr="009952D3">
        <w:rPr>
          <w:lang w:val="fr-FR"/>
        </w:rPr>
        <w:t>»), qui n’entre pas dans la rémunération considérée aux fins de la pension, se compose de trois éléments distincts</w:t>
      </w:r>
      <w:r w:rsidR="00367D2C">
        <w:rPr>
          <w:lang w:val="fr-FR"/>
        </w:rPr>
        <w:t> </w:t>
      </w:r>
      <w:r w:rsidRPr="009952D3">
        <w:rPr>
          <w:lang w:val="fr-FR"/>
        </w:rPr>
        <w:t>:</w:t>
      </w:r>
    </w:p>
    <w:p w:rsidR="009952D3" w:rsidRPr="009952D3" w:rsidRDefault="009952D3" w:rsidP="009952D3">
      <w:pPr>
        <w:pStyle w:val="SingleTxt"/>
        <w:rPr>
          <w:lang w:val="fr-FR"/>
        </w:rPr>
      </w:pPr>
      <w:r w:rsidRPr="009952D3">
        <w:rPr>
          <w:lang w:val="fr-FR"/>
        </w:rPr>
        <w:tab/>
        <w:t>a)</w:t>
      </w:r>
      <w:r w:rsidRPr="009952D3">
        <w:rPr>
          <w:lang w:val="fr-FR"/>
        </w:rPr>
        <w:tab/>
        <w:t>L’élément d’incitation à la mobilité, qui est fonction du nombre d’affectations et qui a pour objet d’inciter à la mobilité géographique;</w:t>
      </w:r>
    </w:p>
    <w:p w:rsidR="009952D3" w:rsidRPr="009952D3" w:rsidRDefault="009952D3" w:rsidP="009952D3">
      <w:pPr>
        <w:pStyle w:val="SingleTxt"/>
        <w:rPr>
          <w:lang w:val="fr-FR"/>
        </w:rPr>
      </w:pPr>
      <w:r w:rsidRPr="009952D3">
        <w:rPr>
          <w:lang w:val="fr-FR"/>
        </w:rPr>
        <w:tab/>
        <w:t>b)</w:t>
      </w:r>
      <w:r w:rsidRPr="009952D3">
        <w:rPr>
          <w:lang w:val="fr-FR"/>
        </w:rPr>
        <w:tab/>
        <w:t xml:space="preserve">L’élément sujétion, qui est modulé en fonction de la difficulté des conditions de vie et de travail dans le lieu d’affectation; </w:t>
      </w:r>
    </w:p>
    <w:p w:rsidR="009952D3" w:rsidRPr="009952D3" w:rsidRDefault="009952D3" w:rsidP="009952D3">
      <w:pPr>
        <w:pStyle w:val="SingleTxt"/>
        <w:rPr>
          <w:lang w:val="fr-FR"/>
        </w:rPr>
      </w:pPr>
      <w:r w:rsidRPr="009952D3">
        <w:rPr>
          <w:lang w:val="fr-FR"/>
        </w:rPr>
        <w:tab/>
        <w:t>c)</w:t>
      </w:r>
      <w:r w:rsidRPr="009952D3">
        <w:rPr>
          <w:lang w:val="fr-FR"/>
        </w:rPr>
        <w:tab/>
        <w:t>L’élément famille non autorisée, dont l’objet est de reconnaître les nominations dans les lieux d’affectation famille non autorisée.</w:t>
      </w:r>
    </w:p>
    <w:p w:rsidR="009952D3" w:rsidRPr="009952D3" w:rsidRDefault="009952D3" w:rsidP="009952D3">
      <w:pPr>
        <w:pStyle w:val="SingleTxt"/>
        <w:spacing w:after="0" w:line="120" w:lineRule="exact"/>
        <w:rPr>
          <w:sz w:val="10"/>
          <w:lang w:val="fr-FR"/>
        </w:rPr>
      </w:pPr>
    </w:p>
    <w:p w:rsidR="009952D3" w:rsidRPr="009952D3" w:rsidRDefault="009952D3" w:rsidP="009952D3">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Conditions générales</w:t>
      </w:r>
    </w:p>
    <w:p w:rsidR="009952D3" w:rsidRPr="009952D3" w:rsidRDefault="009952D3" w:rsidP="009952D3">
      <w:pPr>
        <w:pStyle w:val="SingleTxt"/>
        <w:spacing w:after="0" w:line="120" w:lineRule="exact"/>
        <w:rPr>
          <w:sz w:val="10"/>
          <w:lang w:val="fr-FR"/>
        </w:rPr>
      </w:pPr>
    </w:p>
    <w:p w:rsidR="009952D3" w:rsidRPr="009952D3" w:rsidRDefault="009952D3" w:rsidP="001B0798">
      <w:pPr>
        <w:pStyle w:val="SingleTxt"/>
        <w:numPr>
          <w:ilvl w:val="0"/>
          <w:numId w:val="13"/>
        </w:numPr>
        <w:rPr>
          <w:lang w:val="fr-FR"/>
        </w:rPr>
      </w:pPr>
      <w:r w:rsidRPr="009952D3">
        <w:rPr>
          <w:lang w:val="fr-FR"/>
        </w:rPr>
        <w:t xml:space="preserve">Ont droit à la prime, pour autant qu’ils remplissent les conditions générales énoncées à la sous-section 1.3 et celles qui régissent le versement de chacun des éléments de la prime en vertu des sections 2, 3 et 4, les administrateurs et fonctionnaires de rang supérieur (ceux recrutés sur le plan international), les agents du Service mobile et les agents des services généraux recrutés sur le plan international au sens de la disposition 4.5 du Règlement du personnel. </w:t>
      </w:r>
    </w:p>
    <w:p w:rsidR="009952D3" w:rsidRPr="009952D3" w:rsidRDefault="009952D3" w:rsidP="001B0798">
      <w:pPr>
        <w:pStyle w:val="SingleTxt"/>
        <w:numPr>
          <w:ilvl w:val="0"/>
          <w:numId w:val="13"/>
        </w:numPr>
        <w:rPr>
          <w:lang w:val="fr-FR"/>
        </w:rPr>
      </w:pPr>
      <w:r w:rsidRPr="009952D3">
        <w:rPr>
          <w:lang w:val="fr-FR"/>
        </w:rPr>
        <w:t xml:space="preserve">Peut prétendre à l’élément d’incitation à la mobilité le fonctionnaire nommé dans un lieu d’affectation ou muté dans un nouveau lieu d’affectation pour une période d’au moins un an, aux conditions qui, normalement, ouvrent aussi droit à l’indemnité d’installation en vertu de la disposition 7.14 du Règlement du personnel. Néanmoins, certains des éléments de la prime peuvent aussi être versés lorsque la durée d’une affectation, avec indemnité journalière de subsistance, est </w:t>
      </w:r>
      <w:r w:rsidRPr="009952D3">
        <w:rPr>
          <w:lang w:val="fr-FR"/>
        </w:rPr>
        <w:lastRenderedPageBreak/>
        <w:t>portée par la suite à un an ou au-delà. Dans ce cas, la prime est payable à compter du lendemain de la suppression de l’indemnité précédemment versée.</w:t>
      </w:r>
    </w:p>
    <w:p w:rsidR="009952D3" w:rsidRPr="009952D3" w:rsidRDefault="009952D3" w:rsidP="001B0798">
      <w:pPr>
        <w:pStyle w:val="SingleTxt"/>
        <w:numPr>
          <w:ilvl w:val="0"/>
          <w:numId w:val="13"/>
        </w:numPr>
        <w:rPr>
          <w:lang w:val="fr-FR"/>
        </w:rPr>
      </w:pPr>
      <w:r w:rsidRPr="009952D3">
        <w:rPr>
          <w:lang w:val="fr-FR"/>
        </w:rPr>
        <w:t xml:space="preserve">Les éléments sujétion et famille </w:t>
      </w:r>
      <w:r w:rsidR="00367D2C">
        <w:rPr>
          <w:lang w:val="fr-FR"/>
        </w:rPr>
        <w:t>non autorisée sont versés quel</w:t>
      </w:r>
      <w:r w:rsidRPr="009952D3">
        <w:rPr>
          <w:lang w:val="fr-FR"/>
        </w:rPr>
        <w:t xml:space="preserve"> que soit le type ou la durée de l’engagement, comme prévu aux sous-sections 3.2 et 4.1.</w:t>
      </w:r>
    </w:p>
    <w:p w:rsidR="009952D3" w:rsidRDefault="009952D3" w:rsidP="001B0798">
      <w:pPr>
        <w:pStyle w:val="SingleTxt"/>
        <w:numPr>
          <w:ilvl w:val="0"/>
          <w:numId w:val="13"/>
        </w:numPr>
        <w:rPr>
          <w:lang w:val="fr-FR"/>
        </w:rPr>
      </w:pPr>
      <w:r w:rsidRPr="009952D3">
        <w:rPr>
          <w:lang w:val="fr-FR"/>
        </w:rPr>
        <w:t>La prime de mobilité et de sujétion n’est pas considérée comme un avantage lié à l’expatriation et peut donc être versée à un fonctionnaire en poste dans son pays d’origine.</w:t>
      </w:r>
    </w:p>
    <w:p w:rsidR="00142739" w:rsidRPr="00142739" w:rsidRDefault="00142739" w:rsidP="00142739">
      <w:pPr>
        <w:pStyle w:val="SingleTxt"/>
        <w:spacing w:after="0" w:line="120" w:lineRule="exact"/>
        <w:rPr>
          <w:sz w:val="10"/>
          <w:lang w:val="fr-FR"/>
        </w:rPr>
      </w:pPr>
    </w:p>
    <w:p w:rsidR="009952D3" w:rsidRPr="009952D3" w:rsidRDefault="009952D3" w:rsidP="001427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Catégories de lieux d’affectation et désignation des lieux d’affectation</w:t>
      </w:r>
    </w:p>
    <w:p w:rsidR="009952D3" w:rsidRPr="00142739" w:rsidRDefault="009952D3" w:rsidP="00142739">
      <w:pPr>
        <w:pStyle w:val="SingleTxt"/>
        <w:spacing w:after="0" w:line="120" w:lineRule="exact"/>
        <w:rPr>
          <w:sz w:val="10"/>
          <w:lang w:val="fr-FR"/>
        </w:rPr>
      </w:pPr>
    </w:p>
    <w:p w:rsidR="009952D3" w:rsidRPr="009952D3" w:rsidRDefault="009952D3" w:rsidP="001B0798">
      <w:pPr>
        <w:pStyle w:val="SingleTxt"/>
        <w:numPr>
          <w:ilvl w:val="0"/>
          <w:numId w:val="13"/>
        </w:numPr>
        <w:rPr>
          <w:lang w:val="fr-FR"/>
        </w:rPr>
      </w:pPr>
      <w:r w:rsidRPr="009952D3">
        <w:rPr>
          <w:lang w:val="fr-FR"/>
        </w:rPr>
        <w:t>La Commission de la fonction publique internationale classe les lieux d’affectation en six catégories, la catégorie H et les catégories A à E. La première comprend les villes sièges et autres lieux d’affectation où les Nations Unies ne mènent pas de programme de développement ou d’aide humanitaire, ou les lieux d’affectation situés dans des pays membres de l’Union européenne. Les cinq autres catégories regroupent tous les autres lieux d’affectation, classés par ordre de difficulté des conditions de vie et de travail. Les fonctionnaires sont informés du classement de leur lieu d’affectation tous les ans, voire plus souvent en cas de changement dans le classement.</w:t>
      </w:r>
    </w:p>
    <w:p w:rsidR="009952D3" w:rsidRDefault="009952D3" w:rsidP="001B0798">
      <w:pPr>
        <w:pStyle w:val="SingleTxt"/>
        <w:numPr>
          <w:ilvl w:val="0"/>
          <w:numId w:val="13"/>
        </w:numPr>
        <w:rPr>
          <w:lang w:val="fr-FR"/>
        </w:rPr>
      </w:pPr>
      <w:r w:rsidRPr="009952D3">
        <w:rPr>
          <w:lang w:val="fr-FR"/>
        </w:rPr>
        <w:t>En ce qui concerne le versement de l’élément famille non autorisée, un lieu d’affectation est désigné comme interdit aux familles par le Président de la Commission de la fonction publique internationale lorsque le Département de la sûreté et de la sécurité du Secrétariat décide, pour des raisons de sûreté et de sécurité, d’interdire à toutes les personnes dûment reconnues comme étant à la charge d’un fonctionnaire de résider sur le lieu d’affectation de celui-ci durant une période d</w:t>
      </w:r>
      <w:r w:rsidR="00A37596">
        <w:rPr>
          <w:lang w:val="fr-FR"/>
        </w:rPr>
        <w:t>’</w:t>
      </w:r>
      <w:r w:rsidRPr="009952D3">
        <w:rPr>
          <w:lang w:val="fr-FR"/>
        </w:rPr>
        <w:t xml:space="preserve">au moins six mois. </w:t>
      </w:r>
    </w:p>
    <w:p w:rsidR="00142739" w:rsidRPr="00142739" w:rsidRDefault="00142739" w:rsidP="00142739">
      <w:pPr>
        <w:pStyle w:val="SingleTxt"/>
        <w:spacing w:after="0" w:line="120" w:lineRule="exact"/>
        <w:rPr>
          <w:sz w:val="10"/>
          <w:lang w:val="fr-FR"/>
        </w:rPr>
      </w:pPr>
    </w:p>
    <w:p w:rsidR="009952D3" w:rsidRPr="009952D3" w:rsidRDefault="009952D3" w:rsidP="001427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Montant de la prime</w:t>
      </w:r>
    </w:p>
    <w:p w:rsidR="009952D3" w:rsidRPr="00142739" w:rsidRDefault="009952D3" w:rsidP="00142739">
      <w:pPr>
        <w:pStyle w:val="SingleTxt"/>
        <w:spacing w:after="0" w:line="120" w:lineRule="exact"/>
        <w:rPr>
          <w:sz w:val="10"/>
          <w:lang w:val="fr-FR"/>
        </w:rPr>
      </w:pPr>
    </w:p>
    <w:p w:rsidR="009952D3" w:rsidRDefault="009952D3" w:rsidP="001B0798">
      <w:pPr>
        <w:pStyle w:val="SingleTxt"/>
        <w:numPr>
          <w:ilvl w:val="0"/>
          <w:numId w:val="13"/>
        </w:numPr>
        <w:rPr>
          <w:lang w:val="fr-FR"/>
        </w:rPr>
      </w:pPr>
      <w:r w:rsidRPr="009952D3">
        <w:rPr>
          <w:lang w:val="fr-FR"/>
        </w:rPr>
        <w:t>Le montant de la prime, qui peut varier selon la classe de l’intéressé, est fonction</w:t>
      </w:r>
      <w:r w:rsidR="00142739">
        <w:rPr>
          <w:lang w:val="fr-FR"/>
        </w:rPr>
        <w:t> </w:t>
      </w:r>
      <w:r w:rsidRPr="009952D3">
        <w:rPr>
          <w:lang w:val="fr-FR"/>
        </w:rPr>
        <w:t>:</w:t>
      </w:r>
    </w:p>
    <w:p w:rsidR="009952D3" w:rsidRPr="009952D3" w:rsidRDefault="009952D3" w:rsidP="009952D3">
      <w:pPr>
        <w:pStyle w:val="SingleTxt"/>
        <w:rPr>
          <w:lang w:val="fr-FR"/>
        </w:rPr>
      </w:pPr>
      <w:r w:rsidRPr="009952D3">
        <w:rPr>
          <w:lang w:val="fr-FR"/>
        </w:rPr>
        <w:tab/>
        <w:t>a)</w:t>
      </w:r>
      <w:r w:rsidRPr="009952D3">
        <w:rPr>
          <w:lang w:val="fr-FR"/>
        </w:rPr>
        <w:tab/>
        <w:t>Pour l’élément d’incitation à la mobilité, du nombre d’affectations;</w:t>
      </w:r>
    </w:p>
    <w:p w:rsidR="009952D3" w:rsidRPr="009952D3" w:rsidRDefault="009952D3" w:rsidP="009952D3">
      <w:pPr>
        <w:pStyle w:val="SingleTxt"/>
        <w:rPr>
          <w:lang w:val="fr-FR"/>
        </w:rPr>
      </w:pPr>
      <w:r w:rsidRPr="009952D3">
        <w:rPr>
          <w:lang w:val="fr-FR"/>
        </w:rPr>
        <w:tab/>
        <w:t>b)</w:t>
      </w:r>
      <w:r w:rsidRPr="009952D3">
        <w:rPr>
          <w:lang w:val="fr-FR"/>
        </w:rPr>
        <w:tab/>
        <w:t xml:space="preserve">Pour l’élément sujétion, du classement du lieu d’affectation d’après la difficulté des conditions de vie et de travail; </w:t>
      </w:r>
    </w:p>
    <w:p w:rsidR="009952D3" w:rsidRPr="009952D3" w:rsidRDefault="009952D3" w:rsidP="009952D3">
      <w:pPr>
        <w:pStyle w:val="SingleTxt"/>
        <w:rPr>
          <w:lang w:val="fr-FR"/>
        </w:rPr>
      </w:pPr>
      <w:r w:rsidRPr="009952D3">
        <w:rPr>
          <w:lang w:val="fr-FR"/>
        </w:rPr>
        <w:tab/>
        <w:t>c)</w:t>
      </w:r>
      <w:r w:rsidRPr="009952D3">
        <w:rPr>
          <w:lang w:val="fr-FR"/>
        </w:rPr>
        <w:tab/>
        <w:t xml:space="preserve">Pour l’élément famille non autorisée, de la désignation du lieu d’affectation parmi les lieux famille non autorisée et de l’existence de </w:t>
      </w:r>
      <w:r w:rsidR="00367D2C">
        <w:rPr>
          <w:lang w:val="fr-FR"/>
        </w:rPr>
        <w:t>personnes à </w:t>
      </w:r>
      <w:r w:rsidRPr="009952D3">
        <w:rPr>
          <w:lang w:val="fr-FR"/>
        </w:rPr>
        <w:t>charge.</w:t>
      </w:r>
    </w:p>
    <w:p w:rsidR="009952D3" w:rsidRPr="009952D3" w:rsidRDefault="009952D3" w:rsidP="001B0798">
      <w:pPr>
        <w:pStyle w:val="SingleTxt"/>
        <w:numPr>
          <w:ilvl w:val="0"/>
          <w:numId w:val="13"/>
        </w:numPr>
        <w:rPr>
          <w:lang w:val="fr-FR"/>
        </w:rPr>
      </w:pPr>
      <w:r w:rsidRPr="009952D3">
        <w:rPr>
          <w:lang w:val="fr-FR"/>
        </w:rPr>
        <w:t xml:space="preserve">Aux seules fins du présent régime, le montant des éléments énumérés à la sous-section 1.8 payable aux agents du Service mobile des classes FS-1 à FS-6 est calculé sur la base des montants indiqués pour </w:t>
      </w:r>
      <w:r w:rsidR="001D534A">
        <w:rPr>
          <w:lang w:val="fr-FR"/>
        </w:rPr>
        <w:t>les administrateurs des classes </w:t>
      </w:r>
      <w:r w:rsidRPr="009952D3">
        <w:rPr>
          <w:lang w:val="fr-FR"/>
        </w:rPr>
        <w:t>P-1 à P-3. Dans le cas des agents de classe FS-7, les montants retenus sont ceux payables aux administrateurs de la classe P-4.</w:t>
      </w:r>
    </w:p>
    <w:p w:rsidR="009952D3" w:rsidRPr="009952D3" w:rsidRDefault="009952D3" w:rsidP="001B0798">
      <w:pPr>
        <w:pStyle w:val="SingleTxt"/>
        <w:numPr>
          <w:ilvl w:val="0"/>
          <w:numId w:val="13"/>
        </w:numPr>
        <w:rPr>
          <w:lang w:val="fr-FR"/>
        </w:rPr>
      </w:pPr>
      <w:r w:rsidRPr="009952D3">
        <w:rPr>
          <w:lang w:val="fr-FR"/>
        </w:rPr>
        <w:t>Les agents des services généraux recrutés sur le plan international perçoivent les mêmes montants que les administrateurs des classes P-1 à P-3.</w:t>
      </w:r>
    </w:p>
    <w:p w:rsidR="009952D3" w:rsidRPr="009952D3" w:rsidRDefault="009952D3" w:rsidP="001B0798">
      <w:pPr>
        <w:pStyle w:val="SingleTxt"/>
        <w:numPr>
          <w:ilvl w:val="0"/>
          <w:numId w:val="13"/>
        </w:numPr>
        <w:rPr>
          <w:lang w:val="fr-FR"/>
        </w:rPr>
      </w:pPr>
      <w:r w:rsidRPr="009952D3">
        <w:rPr>
          <w:lang w:val="fr-FR"/>
        </w:rPr>
        <w:t>Lorsque le fonctionnaire qui a droit à la prime, étant détaché temporairement ou étant en déplacement, perçoit à ce titre l’indemnité journalière de subsistance, la prime continue de lui être versée sur la même base qu’au lieu d’affectation d’origine. Un fonctionnaire qui est en déplacement dans un lieu d’affectation famille non autorisée n’a pas droit au versement de l’élément famille non autorisée, sauf s’il le percevait dans son lieu d’affectation d’origine.</w:t>
      </w:r>
    </w:p>
    <w:p w:rsidR="009952D3" w:rsidRPr="009952D3" w:rsidRDefault="009952D3" w:rsidP="001B0798">
      <w:pPr>
        <w:pStyle w:val="SingleTxt"/>
        <w:numPr>
          <w:ilvl w:val="0"/>
          <w:numId w:val="13"/>
        </w:numPr>
        <w:rPr>
          <w:lang w:val="fr-FR"/>
        </w:rPr>
      </w:pPr>
      <w:r w:rsidRPr="009952D3">
        <w:rPr>
          <w:lang w:val="fr-FR"/>
        </w:rPr>
        <w:t>Deux fonctionnaires unis l’un à l’autre qui ont droit chacun au versement de l’élément famille non autorisée la perçoivent tous les deux au taux applicable aux fonctionnaires sans charges de famille. S’ils ont un ou plusieurs enfants à charge, l’élément famille non autorisée est versé au conjoint qui est considéré comme ayant l’enfant ou les enfants à sa charge, au taux applicable aux fonctionnaires avec charges de famille. La même disposition s’applique lorsque l’un des conjoints est fonctionnaire d’une autre organisation appliqua</w:t>
      </w:r>
      <w:r w:rsidR="00142739">
        <w:rPr>
          <w:lang w:val="fr-FR"/>
        </w:rPr>
        <w:t>nt le régime commun des Nations </w:t>
      </w:r>
      <w:r w:rsidRPr="009952D3">
        <w:rPr>
          <w:lang w:val="fr-FR"/>
        </w:rPr>
        <w:t xml:space="preserve">Unies. </w:t>
      </w:r>
    </w:p>
    <w:p w:rsidR="009952D3" w:rsidRDefault="009952D3" w:rsidP="001B0798">
      <w:pPr>
        <w:pStyle w:val="SingleTxt"/>
        <w:numPr>
          <w:ilvl w:val="0"/>
          <w:numId w:val="13"/>
        </w:numPr>
        <w:rPr>
          <w:lang w:val="fr-FR"/>
        </w:rPr>
      </w:pPr>
      <w:r w:rsidRPr="009952D3">
        <w:rPr>
          <w:lang w:val="fr-FR"/>
        </w:rPr>
        <w:t>Les montants de la prime de mobilité et de sujétion sont présentés dans l’annexe à la présente instruction</w:t>
      </w:r>
      <w:r w:rsidR="00142739">
        <w:rPr>
          <w:lang w:val="fr-FR"/>
        </w:rPr>
        <w:t> </w:t>
      </w:r>
      <w:r w:rsidRPr="009952D3">
        <w:rPr>
          <w:lang w:val="fr-FR"/>
        </w:rPr>
        <w:t>:</w:t>
      </w:r>
    </w:p>
    <w:p w:rsidR="009952D3" w:rsidRPr="009952D3" w:rsidRDefault="009952D3" w:rsidP="009952D3">
      <w:pPr>
        <w:pStyle w:val="SingleTxt"/>
        <w:rPr>
          <w:lang w:val="fr-FR"/>
        </w:rPr>
      </w:pPr>
      <w:r w:rsidRPr="009952D3">
        <w:rPr>
          <w:lang w:val="fr-FR"/>
        </w:rPr>
        <w:tab/>
        <w:t>a)</w:t>
      </w:r>
      <w:r w:rsidRPr="009952D3">
        <w:rPr>
          <w:lang w:val="fr-FR"/>
        </w:rPr>
        <w:tab/>
        <w:t>Élément d’incitation à la mobilité (tableau 1);</w:t>
      </w:r>
    </w:p>
    <w:p w:rsidR="009952D3" w:rsidRPr="009952D3" w:rsidRDefault="009952D3" w:rsidP="009952D3">
      <w:pPr>
        <w:pStyle w:val="SingleTxt"/>
        <w:rPr>
          <w:lang w:val="fr-FR"/>
        </w:rPr>
      </w:pPr>
      <w:r w:rsidRPr="009952D3">
        <w:rPr>
          <w:lang w:val="fr-FR"/>
        </w:rPr>
        <w:tab/>
        <w:t>b)</w:t>
      </w:r>
      <w:r w:rsidRPr="009952D3">
        <w:rPr>
          <w:lang w:val="fr-FR"/>
        </w:rPr>
        <w:tab/>
        <w:t xml:space="preserve">Élément sujétion (tableau 2); </w:t>
      </w:r>
    </w:p>
    <w:p w:rsidR="009952D3" w:rsidRPr="009952D3" w:rsidRDefault="009952D3" w:rsidP="009952D3">
      <w:pPr>
        <w:pStyle w:val="SingleTxt"/>
        <w:rPr>
          <w:lang w:val="fr-FR"/>
        </w:rPr>
      </w:pPr>
      <w:r w:rsidRPr="009952D3">
        <w:rPr>
          <w:lang w:val="fr-FR"/>
        </w:rPr>
        <w:tab/>
        <w:t>d)</w:t>
      </w:r>
      <w:r w:rsidRPr="009952D3">
        <w:rPr>
          <w:lang w:val="fr-FR"/>
        </w:rPr>
        <w:tab/>
        <w:t>Élément famille non autorisée (tableau 3).</w:t>
      </w:r>
    </w:p>
    <w:p w:rsidR="009952D3" w:rsidRPr="00142739" w:rsidRDefault="009952D3" w:rsidP="00142739">
      <w:pPr>
        <w:pStyle w:val="SingleTxt"/>
        <w:spacing w:after="0" w:line="120" w:lineRule="exact"/>
        <w:rPr>
          <w:sz w:val="10"/>
          <w:lang w:val="fr-FR"/>
        </w:rPr>
      </w:pPr>
    </w:p>
    <w:p w:rsidR="009952D3" w:rsidRPr="009952D3" w:rsidRDefault="009952D3" w:rsidP="0014273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Section 2</w:t>
      </w:r>
      <w:r w:rsidRPr="009952D3">
        <w:rPr>
          <w:lang w:val="fr-FR"/>
        </w:rPr>
        <w:br/>
        <w:t>Élément d’incitation à la mobilité</w:t>
      </w:r>
    </w:p>
    <w:p w:rsidR="009952D3" w:rsidRPr="00142739" w:rsidRDefault="009952D3" w:rsidP="00142739">
      <w:pPr>
        <w:pStyle w:val="SingleTxt"/>
        <w:spacing w:after="0" w:line="120" w:lineRule="exact"/>
        <w:rPr>
          <w:sz w:val="10"/>
          <w:lang w:val="fr-FR"/>
        </w:rPr>
      </w:pPr>
    </w:p>
    <w:p w:rsidR="009952D3" w:rsidRPr="009952D3" w:rsidRDefault="009952D3" w:rsidP="001427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Période de service ouvrant droit à la prime</w:t>
      </w:r>
    </w:p>
    <w:p w:rsidR="009952D3" w:rsidRPr="00142739" w:rsidRDefault="009952D3" w:rsidP="00142739">
      <w:pPr>
        <w:pStyle w:val="SingleTxt"/>
        <w:spacing w:after="0" w:line="120" w:lineRule="exact"/>
        <w:rPr>
          <w:sz w:val="10"/>
          <w:lang w:val="fr-FR"/>
        </w:rPr>
      </w:pPr>
    </w:p>
    <w:p w:rsidR="009952D3" w:rsidRPr="009952D3" w:rsidRDefault="009952D3" w:rsidP="001B0798">
      <w:pPr>
        <w:pStyle w:val="SingleTxt"/>
        <w:numPr>
          <w:ilvl w:val="0"/>
          <w:numId w:val="14"/>
        </w:numPr>
        <w:rPr>
          <w:lang w:val="fr-FR"/>
        </w:rPr>
      </w:pPr>
      <w:r w:rsidRPr="009952D3">
        <w:rPr>
          <w:lang w:val="fr-FR"/>
        </w:rPr>
        <w:t>A droit à l’élément d’incitation à la mobilité quiconque justifie de cinq années de service continu au titre d’un engagement de durée déterminée ou d’un engagement continu</w:t>
      </w:r>
      <w:r w:rsidRPr="006C2935">
        <w:rPr>
          <w:vertAlign w:val="superscript"/>
          <w:lang w:val="fr-FR"/>
        </w:rPr>
        <w:footnoteReference w:id="1"/>
      </w:r>
      <w:r w:rsidRPr="009952D3">
        <w:rPr>
          <w:lang w:val="fr-FR"/>
        </w:rPr>
        <w:t xml:space="preserve"> comme fonctionnaire de l’ONU ou d’une autre organisation appliquant le régime commun et nommé dans un lieu d</w:t>
      </w:r>
      <w:r w:rsidR="00A37596">
        <w:rPr>
          <w:lang w:val="fr-FR"/>
        </w:rPr>
        <w:t>’</w:t>
      </w:r>
      <w:r w:rsidRPr="009952D3">
        <w:rPr>
          <w:lang w:val="fr-FR"/>
        </w:rPr>
        <w:t>affectation relevant des catégories A à E. En cas de cessation de se</w:t>
      </w:r>
      <w:r w:rsidR="00142739">
        <w:rPr>
          <w:lang w:val="fr-FR"/>
        </w:rPr>
        <w:t>rvice au sens de la disposition </w:t>
      </w:r>
      <w:r w:rsidRPr="009952D3">
        <w:rPr>
          <w:lang w:val="fr-FR"/>
        </w:rPr>
        <w:t xml:space="preserve">9.1 du Règlement du personnel, le temps de service accumulé avant la cessation de service est </w:t>
      </w:r>
      <w:proofErr w:type="gramStart"/>
      <w:r w:rsidRPr="009952D3">
        <w:rPr>
          <w:lang w:val="fr-FR"/>
        </w:rPr>
        <w:t>perdu</w:t>
      </w:r>
      <w:proofErr w:type="gramEnd"/>
      <w:r w:rsidRPr="009952D3">
        <w:rPr>
          <w:lang w:val="fr-FR"/>
        </w:rPr>
        <w:t xml:space="preserve"> et une nouvelle période commence à compter de la reprise de service par le fonctionnaire. Toute période pendant laquelle le fonctionnaire remplissait les conditions énoncées à la sous-section 1.2 et, si la sous-section 2.6 l’autorise, celle pendant laquelle il/elle ne remplissait pas ces conditions peuvent être comptées dans les cinq années de service requises. </w:t>
      </w:r>
    </w:p>
    <w:p w:rsidR="009952D3" w:rsidRPr="009952D3" w:rsidRDefault="009952D3" w:rsidP="001B0798">
      <w:pPr>
        <w:pStyle w:val="SingleTxt"/>
        <w:numPr>
          <w:ilvl w:val="0"/>
          <w:numId w:val="14"/>
        </w:numPr>
        <w:rPr>
          <w:lang w:val="fr-FR"/>
        </w:rPr>
      </w:pPr>
      <w:r w:rsidRPr="009952D3">
        <w:rPr>
          <w:lang w:val="fr-FR"/>
        </w:rPr>
        <w:t xml:space="preserve">Dans tous les lieux d’affectation des catégories A à E, le fonctionnaire </w:t>
      </w:r>
      <w:proofErr w:type="gramStart"/>
      <w:r w:rsidRPr="009952D3">
        <w:rPr>
          <w:lang w:val="fr-FR"/>
        </w:rPr>
        <w:t>a</w:t>
      </w:r>
      <w:proofErr w:type="gramEnd"/>
      <w:r w:rsidRPr="009952D3">
        <w:rPr>
          <w:lang w:val="fr-FR"/>
        </w:rPr>
        <w:t xml:space="preserve"> droit à l’élément d’incitation à la mobilité à partir de sa deuxième affectation, pour autant qu’il remplisse la condition relative aux cinq années de service continu. </w:t>
      </w:r>
    </w:p>
    <w:p w:rsidR="009952D3" w:rsidRPr="009952D3" w:rsidRDefault="009952D3" w:rsidP="001B0798">
      <w:pPr>
        <w:pStyle w:val="SingleTxt"/>
        <w:numPr>
          <w:ilvl w:val="0"/>
          <w:numId w:val="14"/>
        </w:numPr>
        <w:rPr>
          <w:lang w:val="fr-FR"/>
        </w:rPr>
      </w:pPr>
      <w:r w:rsidRPr="009952D3">
        <w:rPr>
          <w:lang w:val="fr-FR"/>
        </w:rPr>
        <w:t xml:space="preserve">Les périodes de congé spécial ne sont pas considérées comme interrompant la continuité du service, mais les mois entiers de congé spécial sans traitement ne comptent pas dans les cinq années de service requises. </w:t>
      </w:r>
    </w:p>
    <w:p w:rsidR="009952D3" w:rsidRDefault="009952D3" w:rsidP="001B0798">
      <w:pPr>
        <w:pStyle w:val="SingleTxt"/>
        <w:numPr>
          <w:ilvl w:val="0"/>
          <w:numId w:val="14"/>
        </w:numPr>
        <w:rPr>
          <w:lang w:val="fr-FR"/>
        </w:rPr>
      </w:pPr>
      <w:r w:rsidRPr="009952D3">
        <w:rPr>
          <w:lang w:val="fr-FR"/>
        </w:rPr>
        <w:t>Les fonctionnaires titulaires d’un engagement temporaire n’ont pas droit au versement de l’élément d’incitation à la mobilité, même si leur engagement est prolongé à titre exceptionnel au-delà d’une période de 364 jours.</w:t>
      </w:r>
    </w:p>
    <w:p w:rsidR="00142739" w:rsidRPr="00142739" w:rsidRDefault="00142739" w:rsidP="00142739">
      <w:pPr>
        <w:pStyle w:val="SingleTxt"/>
        <w:spacing w:after="0" w:line="120" w:lineRule="exact"/>
        <w:rPr>
          <w:sz w:val="10"/>
          <w:lang w:val="fr-FR"/>
        </w:rPr>
      </w:pPr>
    </w:p>
    <w:p w:rsidR="009952D3" w:rsidRPr="009952D3" w:rsidRDefault="009952D3" w:rsidP="00142739">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Calcul du nombre d’affectations</w:t>
      </w:r>
    </w:p>
    <w:p w:rsidR="009952D3" w:rsidRPr="00142739" w:rsidRDefault="009952D3" w:rsidP="00142739">
      <w:pPr>
        <w:pStyle w:val="SingleTxt"/>
        <w:spacing w:after="0" w:line="120" w:lineRule="exact"/>
        <w:rPr>
          <w:sz w:val="10"/>
          <w:lang w:val="fr-FR"/>
        </w:rPr>
      </w:pPr>
    </w:p>
    <w:p w:rsidR="009952D3" w:rsidRPr="009952D3" w:rsidRDefault="009952D3" w:rsidP="001B0798">
      <w:pPr>
        <w:pStyle w:val="SingleTxt"/>
        <w:numPr>
          <w:ilvl w:val="0"/>
          <w:numId w:val="14"/>
        </w:numPr>
        <w:rPr>
          <w:lang w:val="fr-FR"/>
        </w:rPr>
      </w:pPr>
      <w:r w:rsidRPr="009952D3">
        <w:rPr>
          <w:lang w:val="fr-FR"/>
        </w:rPr>
        <w:t>Aux fins de la présente instruction, pour le calcul du no</w:t>
      </w:r>
      <w:r w:rsidR="006A5B5A">
        <w:rPr>
          <w:lang w:val="fr-FR"/>
        </w:rPr>
        <w:t>mbre d’affectations, le terme « affectation </w:t>
      </w:r>
      <w:r w:rsidRPr="009952D3">
        <w:rPr>
          <w:lang w:val="fr-FR"/>
        </w:rPr>
        <w:t>» s’entend soit de la nomination initiale d’un fonctionnaire dans un lieu d’affectation, soit de la mutation, de la réaffectation ou de l’affectation d’un fonctionnaire dans un autre lieu d’affectation pour une période d’au moins un an, y compris dans les villes sièges.</w:t>
      </w:r>
    </w:p>
    <w:p w:rsidR="009952D3" w:rsidRPr="009952D3" w:rsidRDefault="009952D3" w:rsidP="009952D3">
      <w:pPr>
        <w:pStyle w:val="SingleTxt"/>
        <w:rPr>
          <w:lang w:val="fr-FR"/>
        </w:rPr>
      </w:pPr>
      <w:r w:rsidRPr="009952D3">
        <w:rPr>
          <w:lang w:val="fr-FR"/>
        </w:rPr>
        <w:tab/>
        <w:t>a)</w:t>
      </w:r>
      <w:r w:rsidRPr="009952D3">
        <w:rPr>
          <w:lang w:val="fr-FR"/>
        </w:rPr>
        <w:tab/>
        <w:t>Tout engagement initial d’au moins un an, qu’il ait ou non donné lieu à un voyage autorisé ou au versement d’une indemnité d’installation, de même que toute affectation d’au moins un an qui a entraîné un changement de lieu d’affectation, comptent pour une affectation aux fins du calcul du nombre d’affectations, sous réserve que le fonctionnaire achève une période de service d’au moins u</w:t>
      </w:r>
      <w:r w:rsidR="0068648A">
        <w:rPr>
          <w:lang w:val="fr-FR"/>
        </w:rPr>
        <w:t>n an dans le lieu d’affectation</w:t>
      </w:r>
      <w:r w:rsidRPr="009952D3">
        <w:rPr>
          <w:lang w:val="fr-FR"/>
        </w:rPr>
        <w:t>;</w:t>
      </w:r>
    </w:p>
    <w:p w:rsidR="009952D3" w:rsidRPr="009952D3" w:rsidRDefault="009952D3" w:rsidP="009952D3">
      <w:pPr>
        <w:pStyle w:val="SingleTxt"/>
        <w:rPr>
          <w:lang w:val="fr-FR"/>
        </w:rPr>
      </w:pPr>
      <w:r w:rsidRPr="009952D3">
        <w:rPr>
          <w:lang w:val="fr-FR"/>
        </w:rPr>
        <w:tab/>
        <w:t>b)</w:t>
      </w:r>
      <w:r w:rsidRPr="009952D3">
        <w:rPr>
          <w:lang w:val="fr-FR"/>
        </w:rPr>
        <w:tab/>
        <w:t>À titre exceptionnel, toute affectation d’au moins un an dont l’Organisation a décidé par la suite de ramener la durée à moins d’un an compte également pour une affectation.</w:t>
      </w:r>
    </w:p>
    <w:p w:rsidR="009952D3" w:rsidRPr="009952D3" w:rsidRDefault="009952D3" w:rsidP="001B0798">
      <w:pPr>
        <w:pStyle w:val="SingleTxt"/>
        <w:numPr>
          <w:ilvl w:val="0"/>
          <w:numId w:val="14"/>
        </w:numPr>
        <w:rPr>
          <w:lang w:val="fr-FR"/>
        </w:rPr>
      </w:pPr>
      <w:r w:rsidRPr="009952D3">
        <w:rPr>
          <w:lang w:val="fr-FR"/>
        </w:rPr>
        <w:t>Les affectations sont comptées comme suit</w:t>
      </w:r>
      <w:r w:rsidR="001B0798">
        <w:rPr>
          <w:lang w:val="fr-FR"/>
        </w:rPr>
        <w:t> </w:t>
      </w:r>
      <w:r w:rsidRPr="009952D3">
        <w:rPr>
          <w:lang w:val="fr-FR"/>
        </w:rPr>
        <w:t xml:space="preserve">: </w:t>
      </w:r>
    </w:p>
    <w:p w:rsidR="009952D3" w:rsidRPr="009952D3" w:rsidRDefault="009952D3" w:rsidP="009952D3">
      <w:pPr>
        <w:pStyle w:val="SingleTxt"/>
        <w:rPr>
          <w:lang w:val="fr-FR"/>
        </w:rPr>
      </w:pPr>
      <w:r w:rsidRPr="009952D3">
        <w:rPr>
          <w:lang w:val="fr-FR"/>
        </w:rPr>
        <w:tab/>
        <w:t>a)</w:t>
      </w:r>
      <w:r w:rsidRPr="009952D3">
        <w:rPr>
          <w:lang w:val="fr-FR"/>
        </w:rPr>
        <w:tab/>
        <w:t>Les périodes exceptionnelles de service d’au moins un an avec indemnité journalière de subsistance, dans le même lieu d’affectation, comptent pour une affectation, mais seulement à partir de la réaffectation ou de la mutation dans un nouveau lieu d’affectation principal;</w:t>
      </w:r>
    </w:p>
    <w:p w:rsidR="009952D3" w:rsidRPr="009952D3" w:rsidRDefault="009952D3" w:rsidP="009952D3">
      <w:pPr>
        <w:pStyle w:val="SingleTxt"/>
        <w:rPr>
          <w:lang w:val="fr-FR"/>
        </w:rPr>
      </w:pPr>
      <w:r w:rsidRPr="009952D3">
        <w:rPr>
          <w:lang w:val="fr-FR"/>
        </w:rPr>
        <w:tab/>
        <w:t>b)</w:t>
      </w:r>
      <w:r w:rsidRPr="009952D3">
        <w:rPr>
          <w:lang w:val="fr-FR"/>
        </w:rPr>
        <w:tab/>
        <w:t>Pour les agents de la catégorie des services généraux et des catégories apparentées recrutés localement et les administrateurs recrutés sur le plan national qui, par suite d’une promotion accordée à l’issue d’un concours conformément à la disposition 4.16 du Règlement du personnel, entrent dans l’une des catégories ouvrant droit au versement de l’élément d’incitation à la mobilité, toutes les périodes de service antérieures d’au moins un an dans le pays où ils ont été recrutés comptent pour une affectation, sous réserve qu’il n’y ait eu aucune interruption ou cessation de service;</w:t>
      </w:r>
    </w:p>
    <w:p w:rsidR="009952D3" w:rsidRPr="009952D3" w:rsidRDefault="009952D3" w:rsidP="009952D3">
      <w:pPr>
        <w:pStyle w:val="SingleTxt"/>
        <w:rPr>
          <w:lang w:val="fr-FR"/>
        </w:rPr>
      </w:pPr>
      <w:r w:rsidRPr="009952D3">
        <w:rPr>
          <w:lang w:val="fr-FR"/>
        </w:rPr>
        <w:tab/>
        <w:t>c)</w:t>
      </w:r>
      <w:r w:rsidRPr="009952D3">
        <w:rPr>
          <w:lang w:val="fr-FR"/>
        </w:rPr>
        <w:tab/>
        <w:t>Pour les agents de la catégorie des services généraux et des catégories apparentées recrutés localement qui changent de lieu d’affectation ou qui sont envoyés dans une mission opérant dans un pays autre que celui où ils ont été recrutés et qui peuvent ainsi prétendre au versement de l’élément d’incitation à la mobilité, les périodes de service correspondantes d’au moins un an comptent dans les mêmes conditions que pour les administrateurs. La période de service antérieure dans le pays où le fonctionnaire a été recruté localement compte pour une affectation, ainsi qu’il est dit à l’alinéa b) de la sous-section 2.6;</w:t>
      </w:r>
    </w:p>
    <w:p w:rsidR="009952D3" w:rsidRPr="009952D3" w:rsidRDefault="009952D3" w:rsidP="009952D3">
      <w:pPr>
        <w:pStyle w:val="SingleTxt"/>
        <w:rPr>
          <w:lang w:val="fr-FR"/>
        </w:rPr>
      </w:pPr>
      <w:r w:rsidRPr="009952D3">
        <w:rPr>
          <w:lang w:val="fr-FR"/>
        </w:rPr>
        <w:tab/>
        <w:t>d)</w:t>
      </w:r>
      <w:r w:rsidRPr="009952D3">
        <w:rPr>
          <w:lang w:val="fr-FR"/>
        </w:rPr>
        <w:tab/>
        <w:t>Pour les fonctionnaires qui ont été engagés pour une durée limitée, en vertu de la série 300 du Règlement du personnel, pour une durée totale d’au moins un an, et qui ont droit au versement de l’élément d’incitation à la mobilité du fait de la conversion de leur engagement, l’ensemble des périodes de service antérieures compte pour une affectation;</w:t>
      </w:r>
    </w:p>
    <w:p w:rsidR="009952D3" w:rsidRPr="009952D3" w:rsidRDefault="009952D3" w:rsidP="009952D3">
      <w:pPr>
        <w:pStyle w:val="SingleTxt"/>
        <w:rPr>
          <w:lang w:val="fr-FR"/>
        </w:rPr>
      </w:pPr>
      <w:r w:rsidRPr="009952D3">
        <w:rPr>
          <w:lang w:val="fr-FR"/>
        </w:rPr>
        <w:tab/>
        <w:t>e)</w:t>
      </w:r>
      <w:r w:rsidRPr="009952D3">
        <w:rPr>
          <w:lang w:val="fr-FR"/>
        </w:rPr>
        <w:tab/>
        <w:t>Les cas de mutation, de détachement ou de prêt à d’autres organisations appliquant le régime commun des Nations Unies comptent au même titre que les déplacements au sein de l’Organisation;</w:t>
      </w:r>
    </w:p>
    <w:p w:rsidR="009952D3" w:rsidRPr="009952D3" w:rsidRDefault="009952D3" w:rsidP="009952D3">
      <w:pPr>
        <w:pStyle w:val="SingleTxt"/>
        <w:rPr>
          <w:lang w:val="fr-FR"/>
        </w:rPr>
      </w:pPr>
      <w:r w:rsidRPr="009952D3">
        <w:rPr>
          <w:lang w:val="fr-FR"/>
        </w:rPr>
        <w:tab/>
        <w:t>f)</w:t>
      </w:r>
      <w:r w:rsidRPr="009952D3">
        <w:rPr>
          <w:lang w:val="fr-FR"/>
        </w:rPr>
        <w:tab/>
        <w:t>Les périodes de service d’au moins un an effectuées en qualité d’administrateur auxiliaire, d’administrateur de programme adjoint ou d’expert associé engagé pour une durée déterminée sont prises en compte, nonobstant les dispositions de la section 2. Les périodes de service effectuées en tant que Volontaire des Nations Unies ne sont pas retenues;</w:t>
      </w:r>
    </w:p>
    <w:p w:rsidR="009952D3" w:rsidRDefault="009952D3" w:rsidP="009952D3">
      <w:pPr>
        <w:pStyle w:val="SingleTxt"/>
        <w:rPr>
          <w:lang w:val="fr-FR"/>
        </w:rPr>
      </w:pPr>
      <w:r w:rsidRPr="009952D3">
        <w:rPr>
          <w:lang w:val="fr-FR"/>
        </w:rPr>
        <w:tab/>
        <w:t>g)</w:t>
      </w:r>
      <w:r w:rsidRPr="009952D3">
        <w:rPr>
          <w:lang w:val="fr-FR"/>
        </w:rPr>
        <w:tab/>
        <w:t>Les périodes de service effectuées au titre d’un engagement temporaire ne sont pas retenues.</w:t>
      </w:r>
    </w:p>
    <w:p w:rsidR="001B0798" w:rsidRPr="001B0798" w:rsidRDefault="001B0798" w:rsidP="001B0798">
      <w:pPr>
        <w:pStyle w:val="SingleTxt"/>
        <w:spacing w:after="0" w:line="120" w:lineRule="exact"/>
        <w:rPr>
          <w:sz w:val="10"/>
          <w:lang w:val="fr-FR"/>
        </w:rPr>
      </w:pPr>
    </w:p>
    <w:p w:rsidR="009952D3" w:rsidRPr="009952D3" w:rsidRDefault="009952D3" w:rsidP="001B0798">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Durée</w:t>
      </w:r>
    </w:p>
    <w:p w:rsidR="009952D3" w:rsidRPr="001B0798" w:rsidRDefault="009952D3" w:rsidP="001B0798">
      <w:pPr>
        <w:pStyle w:val="SingleTxt"/>
        <w:spacing w:after="0" w:line="120" w:lineRule="exact"/>
        <w:rPr>
          <w:sz w:val="10"/>
          <w:lang w:val="fr-FR"/>
        </w:rPr>
      </w:pPr>
    </w:p>
    <w:p w:rsidR="009952D3" w:rsidRPr="009952D3" w:rsidRDefault="009952D3" w:rsidP="001B0798">
      <w:pPr>
        <w:pStyle w:val="SingleTxt"/>
        <w:numPr>
          <w:ilvl w:val="0"/>
          <w:numId w:val="14"/>
        </w:numPr>
        <w:rPr>
          <w:lang w:val="fr-FR"/>
        </w:rPr>
      </w:pPr>
      <w:r w:rsidRPr="009952D3">
        <w:rPr>
          <w:lang w:val="fr-FR"/>
        </w:rPr>
        <w:t>L’élément d’incitation à la mobilité cesse d’être versé au bout de cinq années de service continu passées dans le même lieu d’affectation, la période prise en compte pour le calcul commençant à courir à partir de la date effective d’entrée en fonctions ou de la date effective du début de l’engagement dans le lieu d’affectation, indépendamment de la question de savoir si le fonctionnaire a droit au versement de cet élément au début de la période. Les périodes de service passées en détachement ou en déplacement, à l’extérieur du lieu d’affectation, comptent dans les cinq années de service. Les mois entiers de congé spécial sans traitement ne comptent pas dans les cinq années de service, la période de cinq ans recommençant à courir au moment où le fonctionnaire reprend ses fonctions.</w:t>
      </w:r>
    </w:p>
    <w:p w:rsidR="009952D3" w:rsidRDefault="009952D3" w:rsidP="001B0798">
      <w:pPr>
        <w:pStyle w:val="SingleTxt"/>
        <w:numPr>
          <w:ilvl w:val="0"/>
          <w:numId w:val="14"/>
        </w:numPr>
        <w:rPr>
          <w:bCs/>
          <w:lang w:val="fr-FR"/>
        </w:rPr>
      </w:pPr>
      <w:r w:rsidRPr="009952D3">
        <w:rPr>
          <w:bCs/>
          <w:lang w:val="fr-FR"/>
        </w:rPr>
        <w:t>À titre exceptionnel, le fonctionnaire resté au même lieu d’affectation à la demande expresse de l’Organisation ou pour des raisons humanitaires impérieuses perçoit l</w:t>
      </w:r>
      <w:r w:rsidRPr="009952D3">
        <w:rPr>
          <w:lang w:val="fr-FR"/>
        </w:rPr>
        <w:t xml:space="preserve">’élément d’incitation à la mobilité </w:t>
      </w:r>
      <w:r w:rsidRPr="009952D3">
        <w:rPr>
          <w:bCs/>
          <w:lang w:val="fr-FR"/>
        </w:rPr>
        <w:t>pour une année supplémentaire, mais en aucun cas pour une durée totale supérieure à six ans.</w:t>
      </w:r>
    </w:p>
    <w:p w:rsidR="001B0798" w:rsidRPr="001B0798" w:rsidRDefault="001B0798" w:rsidP="001B0798">
      <w:pPr>
        <w:pStyle w:val="SingleTxt"/>
        <w:spacing w:after="0" w:line="120" w:lineRule="exact"/>
        <w:rPr>
          <w:sz w:val="10"/>
          <w:lang w:val="fr-FR"/>
        </w:rPr>
      </w:pPr>
    </w:p>
    <w:p w:rsidR="009952D3" w:rsidRPr="009952D3" w:rsidRDefault="009952D3" w:rsidP="001B079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Section 3</w:t>
      </w:r>
      <w:r w:rsidRPr="009952D3">
        <w:rPr>
          <w:lang w:val="fr-FR"/>
        </w:rPr>
        <w:br/>
        <w:t>Élément sujétion</w:t>
      </w:r>
    </w:p>
    <w:p w:rsidR="009952D3" w:rsidRPr="001B0798" w:rsidRDefault="009952D3" w:rsidP="001B0798">
      <w:pPr>
        <w:pStyle w:val="SingleTxt"/>
        <w:spacing w:after="0" w:line="120" w:lineRule="exact"/>
        <w:rPr>
          <w:sz w:val="10"/>
          <w:lang w:val="fr-FR"/>
        </w:rPr>
      </w:pPr>
    </w:p>
    <w:p w:rsidR="009952D3" w:rsidRPr="009952D3" w:rsidRDefault="009952D3" w:rsidP="006255D4">
      <w:pPr>
        <w:pStyle w:val="SingleTxt"/>
        <w:numPr>
          <w:ilvl w:val="0"/>
          <w:numId w:val="15"/>
        </w:numPr>
        <w:rPr>
          <w:lang w:val="fr-FR"/>
        </w:rPr>
      </w:pPr>
      <w:r w:rsidRPr="009952D3">
        <w:rPr>
          <w:lang w:val="fr-FR"/>
        </w:rPr>
        <w:t>A droit à l’élément sujétion le fonctionnaire nommé dans un lieu d’affectation relevant des catégories B, C, D et E qui remplit les conditions requises. Cet élément est versé à compter du début de la première nomination dans un de ces lieux d’affectation pendant toute la durée de l’affectation.</w:t>
      </w:r>
    </w:p>
    <w:p w:rsidR="009952D3" w:rsidRPr="009952D3" w:rsidRDefault="009952D3" w:rsidP="006255D4">
      <w:pPr>
        <w:pStyle w:val="SingleTxt"/>
        <w:numPr>
          <w:ilvl w:val="0"/>
          <w:numId w:val="15"/>
        </w:numPr>
        <w:rPr>
          <w:lang w:val="fr-FR"/>
        </w:rPr>
      </w:pPr>
      <w:r w:rsidRPr="009952D3">
        <w:rPr>
          <w:lang w:val="fr-FR"/>
        </w:rPr>
        <w:t>Peut prétendre à l’élément sujétion à partir du début de sa première affectation, qu’il perçoive ou non une indemnité d’installation, le fonctionnaire qui remplit les conditions énoncées à la sous-section 3.1.</w:t>
      </w:r>
    </w:p>
    <w:p w:rsidR="009952D3" w:rsidRDefault="009952D3" w:rsidP="006255D4">
      <w:pPr>
        <w:pStyle w:val="SingleTxt"/>
        <w:numPr>
          <w:ilvl w:val="0"/>
          <w:numId w:val="15"/>
        </w:numPr>
        <w:rPr>
          <w:lang w:val="fr-FR"/>
        </w:rPr>
      </w:pPr>
      <w:r w:rsidRPr="009952D3">
        <w:rPr>
          <w:lang w:val="fr-FR"/>
        </w:rPr>
        <w:t>Si un lieu d’affectation change de catégorie en cours d’affectation, l’élément sujétion cesse d’être versé si le nouveau classement le justifie ou son montant est modifié à compter de la prise d’effet du nouveau classement.</w:t>
      </w:r>
    </w:p>
    <w:p w:rsidR="006255D4" w:rsidRPr="006255D4" w:rsidRDefault="006255D4" w:rsidP="006255D4">
      <w:pPr>
        <w:pStyle w:val="SingleTxt"/>
        <w:spacing w:after="0" w:line="120" w:lineRule="exact"/>
        <w:rPr>
          <w:sz w:val="10"/>
          <w:lang w:val="fr-FR"/>
        </w:rPr>
      </w:pPr>
    </w:p>
    <w:p w:rsidR="009952D3" w:rsidRPr="009952D3" w:rsidRDefault="009952D3" w:rsidP="00625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Section 4</w:t>
      </w:r>
      <w:r w:rsidR="006255D4">
        <w:rPr>
          <w:lang w:val="fr-FR"/>
        </w:rPr>
        <w:br/>
      </w:r>
      <w:r w:rsidRPr="009952D3">
        <w:rPr>
          <w:lang w:val="fr-FR"/>
        </w:rPr>
        <w:t>Élément famille non autorisée</w:t>
      </w:r>
    </w:p>
    <w:p w:rsidR="009952D3" w:rsidRPr="006255D4" w:rsidRDefault="009952D3" w:rsidP="006255D4">
      <w:pPr>
        <w:pStyle w:val="SingleTxt"/>
        <w:spacing w:after="0" w:line="120" w:lineRule="exact"/>
        <w:rPr>
          <w:sz w:val="10"/>
          <w:lang w:val="fr-FR"/>
        </w:rPr>
      </w:pPr>
    </w:p>
    <w:p w:rsidR="009952D3" w:rsidRPr="009952D3" w:rsidRDefault="009952D3" w:rsidP="006255D4">
      <w:pPr>
        <w:pStyle w:val="SingleTxt"/>
        <w:numPr>
          <w:ilvl w:val="0"/>
          <w:numId w:val="16"/>
        </w:numPr>
        <w:rPr>
          <w:lang w:val="fr-FR"/>
        </w:rPr>
      </w:pPr>
      <w:r w:rsidRPr="009952D3">
        <w:rPr>
          <w:lang w:val="fr-FR"/>
        </w:rPr>
        <w:t>A droit à l’élément famille non autorisée le fonctionnaire remplissant les conditions requises qui est nommé dans un lieu d’affectation famille non autorisée. Cet élément est versé à compter du début de la nomination dans un de ces lieux d’affectation pendant toute la durée de l’affectation. Il n’est pas versé lorsque la présence d’un membre de la famille est approuvée à titre exceptionnel, indépendamment de la question de savoir si d’autres membres de la famille remplissant les conditions requises continuent de résider en dehors du lieu d’affectation famille non autorisée, et ce pendant toute la durée de la présence du membre de la famille dans le lieu d’affectation.</w:t>
      </w:r>
    </w:p>
    <w:p w:rsidR="009952D3" w:rsidRPr="009952D3" w:rsidRDefault="009952D3" w:rsidP="006255D4">
      <w:pPr>
        <w:pStyle w:val="SingleTxt"/>
        <w:numPr>
          <w:ilvl w:val="0"/>
          <w:numId w:val="16"/>
        </w:numPr>
        <w:rPr>
          <w:lang w:val="fr-FR"/>
        </w:rPr>
      </w:pPr>
      <w:r w:rsidRPr="009952D3">
        <w:rPr>
          <w:lang w:val="fr-FR"/>
        </w:rPr>
        <w:t>Si la désignation du lieu d’affectation change en cours de nomination ou d’affectation, passant d’un lieu famille autorisée à un lieu famille non autorisée, l’élément famille non autorisée est versé à compter de la prise d’effet du changement de désignation.</w:t>
      </w:r>
    </w:p>
    <w:p w:rsidR="009952D3" w:rsidRDefault="009952D3" w:rsidP="006255D4">
      <w:pPr>
        <w:pStyle w:val="SingleTxt"/>
        <w:numPr>
          <w:ilvl w:val="0"/>
          <w:numId w:val="16"/>
        </w:numPr>
        <w:rPr>
          <w:lang w:val="fr-FR"/>
        </w:rPr>
      </w:pPr>
      <w:r w:rsidRPr="009952D3">
        <w:rPr>
          <w:lang w:val="fr-FR"/>
        </w:rPr>
        <w:t>Si la désignation du lieu d’affectation change en cours de nomination ou d’affectation, passant d’un lieu famille non autorisée à un lieu famille autorisée, l’élément famille non autorisée cesse d’être versé après une période de transition</w:t>
      </w:r>
      <w:r w:rsidR="006255D4">
        <w:rPr>
          <w:lang w:val="fr-FR"/>
        </w:rPr>
        <w:t> </w:t>
      </w:r>
      <w:r w:rsidRPr="009952D3">
        <w:rPr>
          <w:lang w:val="fr-FR"/>
        </w:rPr>
        <w:t>:</w:t>
      </w:r>
    </w:p>
    <w:p w:rsidR="009952D3" w:rsidRPr="009952D3" w:rsidRDefault="009952D3" w:rsidP="009952D3">
      <w:pPr>
        <w:pStyle w:val="SingleTxt"/>
        <w:rPr>
          <w:lang w:val="fr-FR"/>
        </w:rPr>
      </w:pPr>
      <w:r w:rsidRPr="009952D3">
        <w:rPr>
          <w:lang w:val="fr-FR"/>
        </w:rPr>
        <w:tab/>
        <w:t>a)</w:t>
      </w:r>
      <w:r w:rsidRPr="009952D3">
        <w:rPr>
          <w:lang w:val="fr-FR"/>
        </w:rPr>
        <w:tab/>
        <w:t>Pour les fonctionnaires sans charges de famille, il cesse d’être versé au bout de trois mois à compter de la prise d’effet du changement de désignation;</w:t>
      </w:r>
    </w:p>
    <w:p w:rsidR="009952D3" w:rsidRPr="009952D3" w:rsidRDefault="009952D3" w:rsidP="009952D3">
      <w:pPr>
        <w:pStyle w:val="SingleTxt"/>
        <w:rPr>
          <w:lang w:val="fr-FR"/>
        </w:rPr>
      </w:pPr>
      <w:r w:rsidRPr="009952D3">
        <w:rPr>
          <w:lang w:val="fr-FR"/>
        </w:rPr>
        <w:tab/>
        <w:t>b)</w:t>
      </w:r>
      <w:r w:rsidRPr="009952D3">
        <w:rPr>
          <w:lang w:val="fr-FR"/>
        </w:rPr>
        <w:tab/>
        <w:t>Pour les fonctionnaires ayant des charges de famille, il cesse d’être versé au bout de trois mois, mais peut être versé pendant trois mois supplémentaires (six mois au total), à compter de la prise d’effet du changement de désignation ou jusqu’à ce qu’un membre de la famille remplissant les conditions requises les rejoigne dans leur lieu d’affectation, selon ce qui survient en premier.</w:t>
      </w:r>
    </w:p>
    <w:p w:rsidR="009952D3" w:rsidRDefault="009952D3" w:rsidP="006255D4">
      <w:pPr>
        <w:pStyle w:val="SingleTxt"/>
        <w:numPr>
          <w:ilvl w:val="0"/>
          <w:numId w:val="16"/>
        </w:numPr>
        <w:rPr>
          <w:lang w:val="fr-FR"/>
        </w:rPr>
      </w:pPr>
      <w:r w:rsidRPr="009952D3">
        <w:rPr>
          <w:lang w:val="fr-FR"/>
        </w:rPr>
        <w:t>Les fonctionnaires nommés ou affectés dans un lieu d’affectation à compter de la date de la prise d’effet du changement de désignation ne reçoivent pas l’élément famille non autorisée.</w:t>
      </w:r>
    </w:p>
    <w:p w:rsidR="006255D4" w:rsidRPr="006255D4" w:rsidRDefault="006255D4" w:rsidP="006255D4">
      <w:pPr>
        <w:pStyle w:val="SingleTxt"/>
        <w:spacing w:after="0" w:line="120" w:lineRule="exact"/>
        <w:rPr>
          <w:sz w:val="10"/>
          <w:lang w:val="fr-FR"/>
        </w:rPr>
      </w:pPr>
    </w:p>
    <w:p w:rsidR="009952D3" w:rsidRPr="009952D3" w:rsidRDefault="009952D3" w:rsidP="00625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Section 5</w:t>
      </w:r>
      <w:r w:rsidRPr="009952D3">
        <w:rPr>
          <w:lang w:val="fr-FR"/>
        </w:rPr>
        <w:br/>
        <w:t>Modalités de paiement de la prime</w:t>
      </w:r>
    </w:p>
    <w:p w:rsidR="009952D3" w:rsidRPr="006255D4" w:rsidRDefault="009952D3" w:rsidP="006255D4">
      <w:pPr>
        <w:pStyle w:val="SingleTxt"/>
        <w:spacing w:after="0" w:line="120" w:lineRule="exact"/>
        <w:rPr>
          <w:sz w:val="10"/>
          <w:lang w:val="fr-FR"/>
        </w:rPr>
      </w:pPr>
    </w:p>
    <w:p w:rsidR="009952D3" w:rsidRPr="009952D3" w:rsidRDefault="009952D3" w:rsidP="006255D4">
      <w:pPr>
        <w:pStyle w:val="SingleTxt"/>
        <w:numPr>
          <w:ilvl w:val="0"/>
          <w:numId w:val="17"/>
        </w:numPr>
        <w:rPr>
          <w:lang w:val="fr-FR"/>
        </w:rPr>
      </w:pPr>
      <w:r w:rsidRPr="009952D3">
        <w:rPr>
          <w:lang w:val="fr-FR"/>
        </w:rPr>
        <w:t>En principe, la prime est calculée et payée en dollars des États-Unis. Si le fonctionnaire demande à percevoir son traitement et ses indemnités dans une autre monnaie, comme l’instruction administ</w:t>
      </w:r>
      <w:r w:rsidR="006255D4">
        <w:rPr>
          <w:lang w:val="fr-FR"/>
        </w:rPr>
        <w:t xml:space="preserve">rative </w:t>
      </w:r>
      <w:hyperlink r:id="rId17" w:history="1">
        <w:r w:rsidR="006255D4" w:rsidRPr="005C3612">
          <w:rPr>
            <w:rStyle w:val="Hyperlink"/>
            <w:lang w:val="fr-FR"/>
          </w:rPr>
          <w:t>ST/AI/2001/1</w:t>
        </w:r>
      </w:hyperlink>
      <w:r w:rsidR="006255D4">
        <w:rPr>
          <w:lang w:val="fr-FR"/>
        </w:rPr>
        <w:t xml:space="preserve"> intitulée « </w:t>
      </w:r>
      <w:r w:rsidRPr="009952D3">
        <w:rPr>
          <w:lang w:val="fr-FR"/>
        </w:rPr>
        <w:t>Monnaie et modalités de paiement de</w:t>
      </w:r>
      <w:r w:rsidR="006255D4">
        <w:rPr>
          <w:lang w:val="fr-FR"/>
        </w:rPr>
        <w:t>s traitements et des indemnités </w:t>
      </w:r>
      <w:r w:rsidRPr="009952D3">
        <w:rPr>
          <w:lang w:val="fr-FR"/>
        </w:rPr>
        <w:t xml:space="preserve">» lui en donne la faculté, le montant de la prime est converti au taux de change opérationnel de l’ONU en vigueur à la date du paiement. Il n’est opéré aucun ajustement pour tenir compte des fluctuations des taux de change une fois le versement effectué. </w:t>
      </w:r>
    </w:p>
    <w:p w:rsidR="009952D3" w:rsidRDefault="009952D3" w:rsidP="006255D4">
      <w:pPr>
        <w:pStyle w:val="SingleTxt"/>
        <w:numPr>
          <w:ilvl w:val="0"/>
          <w:numId w:val="17"/>
        </w:numPr>
        <w:rPr>
          <w:lang w:val="fr-FR"/>
        </w:rPr>
      </w:pPr>
      <w:r w:rsidRPr="009952D3">
        <w:rPr>
          <w:lang w:val="fr-FR"/>
        </w:rPr>
        <w:t>La prime est versée mensuellement.</w:t>
      </w:r>
    </w:p>
    <w:p w:rsidR="006255D4" w:rsidRPr="006255D4" w:rsidRDefault="006255D4" w:rsidP="006255D4">
      <w:pPr>
        <w:pStyle w:val="SingleTxt"/>
        <w:spacing w:after="0" w:line="120" w:lineRule="exact"/>
        <w:rPr>
          <w:sz w:val="10"/>
          <w:lang w:val="fr-FR"/>
        </w:rPr>
      </w:pPr>
    </w:p>
    <w:p w:rsidR="009952D3" w:rsidRPr="009952D3" w:rsidRDefault="009952D3" w:rsidP="006255D4">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Section 6</w:t>
      </w:r>
      <w:r w:rsidRPr="009952D3">
        <w:rPr>
          <w:lang w:val="fr-FR"/>
        </w:rPr>
        <w:br/>
        <w:t>Ajustements</w:t>
      </w:r>
    </w:p>
    <w:p w:rsidR="009952D3" w:rsidRPr="006255D4" w:rsidRDefault="009952D3" w:rsidP="006255D4">
      <w:pPr>
        <w:pStyle w:val="SingleTxt"/>
        <w:spacing w:after="0" w:line="120" w:lineRule="exact"/>
        <w:rPr>
          <w:sz w:val="10"/>
          <w:lang w:val="fr-FR"/>
        </w:rPr>
      </w:pPr>
    </w:p>
    <w:p w:rsidR="009952D3" w:rsidRPr="009952D3" w:rsidRDefault="009952D3" w:rsidP="009952D3">
      <w:pPr>
        <w:pStyle w:val="SingleTxt"/>
        <w:rPr>
          <w:bCs/>
          <w:lang w:val="fr-FR"/>
        </w:rPr>
      </w:pPr>
      <w:r w:rsidRPr="009952D3">
        <w:rPr>
          <w:lang w:val="fr-FR"/>
        </w:rPr>
        <w:tab/>
        <w:t>Les sommes versées sont ajustées ou le versement en est interrompu en cas de changement d’affectation, de situation familiale, de désignation ou de classement des lieux d’affectation, de promotion, d’achèvement des cinq ou six années de service continu dans le lieu d’affectation, selon qu’il convient, de congé spécial ou de cessation de service. Il est également procédé à un ajustement lorsque le fonctionnaire commence à percevoir une indemnité de fonctions, normalement à la classe P-4, D-1 ou FS-7, ce qui a pour effet de majorer la prime conformément aux montants indiqués dans les tableaux annexés à la présente instruction</w:t>
      </w:r>
      <w:r w:rsidRPr="009952D3">
        <w:rPr>
          <w:bCs/>
          <w:lang w:val="fr-FR"/>
        </w:rPr>
        <w:t>.</w:t>
      </w:r>
    </w:p>
    <w:p w:rsidR="009952D3" w:rsidRPr="006255D4" w:rsidRDefault="009952D3" w:rsidP="006255D4">
      <w:pPr>
        <w:pStyle w:val="SingleTxt"/>
        <w:spacing w:after="0" w:line="120" w:lineRule="exact"/>
        <w:rPr>
          <w:sz w:val="10"/>
          <w:lang w:val="fr-FR"/>
        </w:rPr>
      </w:pPr>
    </w:p>
    <w:p w:rsidR="009952D3" w:rsidRPr="009952D3" w:rsidRDefault="009952D3" w:rsidP="006C29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Section 7</w:t>
      </w:r>
      <w:r w:rsidRPr="009952D3">
        <w:rPr>
          <w:lang w:val="fr-FR"/>
        </w:rPr>
        <w:br/>
        <w:t>Prime de mobilité et de sujétion et autres primes et allocations</w:t>
      </w:r>
    </w:p>
    <w:p w:rsidR="009952D3" w:rsidRPr="00EB7362" w:rsidRDefault="009952D3" w:rsidP="006C2935">
      <w:pPr>
        <w:pStyle w:val="SingleTxt"/>
        <w:keepNext/>
        <w:keepLines/>
        <w:spacing w:after="0" w:line="120" w:lineRule="exact"/>
        <w:rPr>
          <w:sz w:val="10"/>
          <w:lang w:val="fr-FR"/>
        </w:rPr>
      </w:pPr>
    </w:p>
    <w:p w:rsidR="009952D3" w:rsidRPr="009952D3" w:rsidRDefault="009952D3" w:rsidP="006C2935">
      <w:pPr>
        <w:pStyle w:val="SingleTxt"/>
        <w:keepNext/>
        <w:keepLines/>
        <w:numPr>
          <w:ilvl w:val="0"/>
          <w:numId w:val="18"/>
        </w:numPr>
        <w:rPr>
          <w:lang w:val="fr-FR"/>
        </w:rPr>
      </w:pPr>
      <w:r w:rsidRPr="009952D3">
        <w:rPr>
          <w:lang w:val="fr-FR"/>
        </w:rPr>
        <w:t>Les sommes versées au titre de la prime de mobilité et de sujétion ne sont pas prises en compte aux fins du calcul de l’allocation-logement à laquelle le fonctionnaire peut prétendre.</w:t>
      </w:r>
    </w:p>
    <w:p w:rsidR="009952D3" w:rsidRPr="009952D3" w:rsidRDefault="009952D3" w:rsidP="00EB7362">
      <w:pPr>
        <w:pStyle w:val="SingleTxt"/>
        <w:numPr>
          <w:ilvl w:val="0"/>
          <w:numId w:val="18"/>
        </w:numPr>
        <w:rPr>
          <w:lang w:val="fr-FR"/>
        </w:rPr>
      </w:pPr>
      <w:r w:rsidRPr="009952D3">
        <w:rPr>
          <w:lang w:val="fr-FR"/>
        </w:rPr>
        <w:t>Un fonctionnaire ne peut prétendre au versement de l’élément famille non autorisée s’il perçoit aussi l’indemnité mensuelle d’évacuation pour raisons de sécurité au nom des membres de sa famille qui répondent aux conditions requises. Autrement dit, le versement de l’indemnité mensuelle d’évacuation pour raisons de sécurité s’arrête lorsque celui de l’élément famille non autorisée commence.</w:t>
      </w:r>
    </w:p>
    <w:p w:rsidR="009952D3" w:rsidRDefault="009952D3" w:rsidP="00EB7362">
      <w:pPr>
        <w:pStyle w:val="SingleTxt"/>
        <w:numPr>
          <w:ilvl w:val="0"/>
          <w:numId w:val="18"/>
        </w:numPr>
        <w:rPr>
          <w:lang w:val="fr-FR"/>
        </w:rPr>
      </w:pPr>
      <w:r w:rsidRPr="009952D3">
        <w:rPr>
          <w:lang w:val="fr-FR"/>
        </w:rPr>
        <w:t>Nonobstant la sous-section 7.2, un fonctionnaire qui perçoit l’élément famille non autorisée et qui est transféré ou évacué à titre provisoire continuera à avoir droit au versement de l’indemnité mensuelle d’évacuation pour lui-même conformément aux dispositions du système de gestion de la sécurité.</w:t>
      </w:r>
    </w:p>
    <w:p w:rsidR="00EB7362" w:rsidRPr="00EB7362" w:rsidRDefault="00EB7362" w:rsidP="00EB7362">
      <w:pPr>
        <w:pStyle w:val="SingleTxt"/>
        <w:spacing w:after="0" w:line="120" w:lineRule="exact"/>
        <w:rPr>
          <w:sz w:val="10"/>
          <w:lang w:val="fr-FR"/>
        </w:rPr>
      </w:pPr>
    </w:p>
    <w:p w:rsidR="009952D3" w:rsidRPr="009952D3" w:rsidRDefault="00EB7362" w:rsidP="00EB73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9952D3" w:rsidRPr="009952D3">
        <w:rPr>
          <w:lang w:val="fr-FR"/>
        </w:rPr>
        <w:t>Section 8</w:t>
      </w:r>
      <w:r>
        <w:rPr>
          <w:lang w:val="fr-FR"/>
        </w:rPr>
        <w:br/>
      </w:r>
      <w:r w:rsidR="009952D3" w:rsidRPr="009952D3">
        <w:rPr>
          <w:lang w:val="fr-FR"/>
        </w:rPr>
        <w:t>Mesures transitoires</w:t>
      </w:r>
    </w:p>
    <w:p w:rsidR="009952D3" w:rsidRPr="00EB7362" w:rsidRDefault="009952D3" w:rsidP="00EB7362">
      <w:pPr>
        <w:pStyle w:val="SingleTxt"/>
        <w:spacing w:after="0" w:line="120" w:lineRule="exact"/>
        <w:rPr>
          <w:b/>
          <w:sz w:val="10"/>
          <w:lang w:val="fr-FR"/>
        </w:rPr>
      </w:pPr>
    </w:p>
    <w:p w:rsidR="009952D3" w:rsidRPr="009952D3" w:rsidRDefault="009952D3" w:rsidP="00EB7362">
      <w:pPr>
        <w:pStyle w:val="SingleTxt"/>
        <w:numPr>
          <w:ilvl w:val="0"/>
          <w:numId w:val="19"/>
        </w:numPr>
        <w:rPr>
          <w:lang w:val="fr-FR"/>
        </w:rPr>
      </w:pPr>
      <w:r w:rsidRPr="009952D3">
        <w:rPr>
          <w:lang w:val="fr-FR"/>
        </w:rPr>
        <w:t>Les fonctionnaires qui perçoivent l’élément non-déménagement</w:t>
      </w:r>
      <w:r w:rsidR="00EB7362">
        <w:rPr>
          <w:lang w:val="fr-FR"/>
        </w:rPr>
        <w:t xml:space="preserve"> au 30 </w:t>
      </w:r>
      <w:r w:rsidRPr="009952D3">
        <w:rPr>
          <w:lang w:val="fr-FR"/>
        </w:rPr>
        <w:t>juin 2016 continuent de le recevoir pour une période maximale de cinq ans dans le même lieu d’affectation ou jusqu’à ce qu’ils soient mutés dans un autre lieu d’affectation, selon ce qui survient en premier.</w:t>
      </w:r>
    </w:p>
    <w:p w:rsidR="009952D3" w:rsidRPr="009952D3" w:rsidRDefault="009952D3" w:rsidP="00EB7362">
      <w:pPr>
        <w:pStyle w:val="SingleTxt"/>
        <w:numPr>
          <w:ilvl w:val="0"/>
          <w:numId w:val="19"/>
        </w:numPr>
        <w:rPr>
          <w:lang w:val="fr-FR"/>
        </w:rPr>
      </w:pPr>
      <w:r w:rsidRPr="009952D3">
        <w:rPr>
          <w:lang w:val="fr-FR"/>
        </w:rPr>
        <w:t>Les fonctionnaires qui perçoivent l’élément de mobilité au 30 juin 2016 continuent de le recevoir pour une période maximale de cinq ans dans le même lieu d’affectation ou jusqu’à ce qu’ils soient mutés dans un autre lieu d’affectation, selon ce qui survient en premier.</w:t>
      </w:r>
    </w:p>
    <w:p w:rsidR="009952D3" w:rsidRPr="009952D3" w:rsidRDefault="009952D3" w:rsidP="00EB7362">
      <w:pPr>
        <w:pStyle w:val="SingleTxt"/>
        <w:numPr>
          <w:ilvl w:val="0"/>
          <w:numId w:val="19"/>
        </w:numPr>
        <w:rPr>
          <w:lang w:val="fr-FR"/>
        </w:rPr>
      </w:pPr>
      <w:r w:rsidRPr="009952D3">
        <w:rPr>
          <w:lang w:val="fr-FR"/>
        </w:rPr>
        <w:t>En cas de retards dans l’application des dispositions de la présente instruction, il est procédé aux ajustements rétroactifs nécessaires.</w:t>
      </w:r>
    </w:p>
    <w:p w:rsidR="009952D3" w:rsidRDefault="009952D3" w:rsidP="00EB7362">
      <w:pPr>
        <w:pStyle w:val="SingleTxt"/>
        <w:numPr>
          <w:ilvl w:val="0"/>
          <w:numId w:val="19"/>
        </w:numPr>
        <w:rPr>
          <w:lang w:val="fr-FR"/>
        </w:rPr>
      </w:pPr>
      <w:r w:rsidRPr="009952D3">
        <w:rPr>
          <w:lang w:val="fr-FR"/>
        </w:rPr>
        <w:t>Le nombre d’affectations correctement calculé aux fins de l’élément mobilité, conformément aux dispositions de l’instruction administrative</w:t>
      </w:r>
      <w:r w:rsidR="00A37596">
        <w:rPr>
          <w:lang w:val="fr-FR"/>
        </w:rPr>
        <w:t xml:space="preserve"> </w:t>
      </w:r>
      <w:hyperlink r:id="rId18" w:history="1">
        <w:r w:rsidRPr="005C3612">
          <w:rPr>
            <w:rStyle w:val="Hyperlink"/>
            <w:lang w:val="fr-FR"/>
          </w:rPr>
          <w:t>ST/AI/2011/6</w:t>
        </w:r>
      </w:hyperlink>
      <w:r w:rsidRPr="009952D3">
        <w:rPr>
          <w:lang w:val="fr-FR"/>
        </w:rPr>
        <w:t xml:space="preserve"> et Amend.1, continue d’être comptabilisé de façon prospective aux fins de l’élément d’incitation à la mobilité. La présente instruction administrative n’a aucun effet rétroactif sur le nombre d’affectations d’un fonctionnaire, pour autant que ce nombre ait été correctement calculé conformément à l’instruction administrative </w:t>
      </w:r>
      <w:hyperlink r:id="rId19" w:history="1">
        <w:r w:rsidRPr="005C3612">
          <w:rPr>
            <w:rStyle w:val="Hyperlink"/>
            <w:lang w:val="fr-FR"/>
          </w:rPr>
          <w:t>ST/AI/2011/6</w:t>
        </w:r>
      </w:hyperlink>
      <w:r w:rsidRPr="009952D3">
        <w:rPr>
          <w:lang w:val="fr-FR"/>
        </w:rPr>
        <w:t xml:space="preserve"> et Amend.1.</w:t>
      </w:r>
    </w:p>
    <w:p w:rsidR="00EB7362" w:rsidRPr="00EB7362" w:rsidRDefault="00EB7362" w:rsidP="00EB7362">
      <w:pPr>
        <w:pStyle w:val="SingleTxt"/>
        <w:spacing w:after="0" w:line="120" w:lineRule="exact"/>
        <w:rPr>
          <w:sz w:val="10"/>
          <w:lang w:val="fr-FR"/>
        </w:rPr>
      </w:pPr>
    </w:p>
    <w:p w:rsidR="009952D3" w:rsidRPr="009952D3" w:rsidRDefault="009952D3" w:rsidP="00EB736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952D3">
        <w:rPr>
          <w:lang w:val="fr-FR"/>
        </w:rPr>
        <w:tab/>
      </w:r>
      <w:r w:rsidRPr="009952D3">
        <w:rPr>
          <w:lang w:val="fr-FR"/>
        </w:rPr>
        <w:tab/>
        <w:t>Section 9</w:t>
      </w:r>
      <w:r w:rsidRPr="009952D3">
        <w:rPr>
          <w:lang w:val="fr-FR"/>
        </w:rPr>
        <w:br/>
        <w:t>Dispositions finales</w:t>
      </w:r>
    </w:p>
    <w:p w:rsidR="009952D3" w:rsidRPr="00EB7362" w:rsidRDefault="009952D3" w:rsidP="00EB7362">
      <w:pPr>
        <w:pStyle w:val="SingleTxt"/>
        <w:spacing w:after="0" w:line="120" w:lineRule="exact"/>
        <w:rPr>
          <w:sz w:val="10"/>
          <w:lang w:val="fr-FR"/>
        </w:rPr>
      </w:pPr>
    </w:p>
    <w:p w:rsidR="009952D3" w:rsidRPr="009952D3" w:rsidRDefault="009952D3" w:rsidP="00EB7362">
      <w:pPr>
        <w:pStyle w:val="SingleTxt"/>
        <w:numPr>
          <w:ilvl w:val="0"/>
          <w:numId w:val="20"/>
        </w:numPr>
        <w:rPr>
          <w:lang w:val="fr-FR"/>
        </w:rPr>
      </w:pPr>
      <w:r w:rsidRPr="009952D3">
        <w:rPr>
          <w:lang w:val="fr-FR"/>
        </w:rPr>
        <w:t>La présente instruction administrative prend effet le 1</w:t>
      </w:r>
      <w:r w:rsidRPr="009952D3">
        <w:rPr>
          <w:vertAlign w:val="superscript"/>
          <w:lang w:val="fr-FR"/>
        </w:rPr>
        <w:t xml:space="preserve">er </w:t>
      </w:r>
      <w:r w:rsidRPr="009952D3">
        <w:rPr>
          <w:lang w:val="fr-FR"/>
        </w:rPr>
        <w:t>juillet 2016.</w:t>
      </w:r>
    </w:p>
    <w:p w:rsidR="009952D3" w:rsidRDefault="009952D3" w:rsidP="00EB7362">
      <w:pPr>
        <w:pStyle w:val="SingleTxt"/>
        <w:numPr>
          <w:ilvl w:val="0"/>
          <w:numId w:val="20"/>
        </w:numPr>
        <w:rPr>
          <w:lang w:val="fr-FR"/>
        </w:rPr>
      </w:pPr>
      <w:r w:rsidRPr="009952D3">
        <w:rPr>
          <w:lang w:val="fr-FR"/>
        </w:rPr>
        <w:t xml:space="preserve">L’instruction administrative </w:t>
      </w:r>
      <w:hyperlink r:id="rId20" w:history="1">
        <w:r w:rsidRPr="005C3612">
          <w:rPr>
            <w:rStyle w:val="Hyperlink"/>
            <w:lang w:val="fr-FR"/>
          </w:rPr>
          <w:t>ST/AI/2011/6</w:t>
        </w:r>
      </w:hyperlink>
      <w:r w:rsidRPr="009952D3">
        <w:rPr>
          <w:lang w:val="fr-FR"/>
        </w:rPr>
        <w:t xml:space="preserve"> et Amend.1, intitulée</w:t>
      </w:r>
      <w:r w:rsidR="00EB7362">
        <w:rPr>
          <w:lang w:val="fr-FR"/>
        </w:rPr>
        <w:t xml:space="preserve"> « </w:t>
      </w:r>
      <w:r w:rsidRPr="009952D3">
        <w:rPr>
          <w:lang w:val="fr-FR"/>
        </w:rPr>
        <w:t>Prime de mobilité et de sujétion</w:t>
      </w:r>
      <w:r w:rsidR="00EB7362">
        <w:rPr>
          <w:lang w:val="fr-FR"/>
        </w:rPr>
        <w:t> »</w:t>
      </w:r>
      <w:r w:rsidRPr="009952D3">
        <w:rPr>
          <w:lang w:val="fr-FR"/>
        </w:rPr>
        <w:t>, est annulée.</w:t>
      </w:r>
    </w:p>
    <w:p w:rsidR="009A0CF9" w:rsidRPr="009A0CF9" w:rsidRDefault="009A0CF9" w:rsidP="009A0CF9">
      <w:pPr>
        <w:pStyle w:val="SingleTxt"/>
        <w:spacing w:after="0" w:line="120" w:lineRule="exact"/>
        <w:rPr>
          <w:sz w:val="10"/>
          <w:lang w:val="fr-FR"/>
        </w:rPr>
      </w:pPr>
    </w:p>
    <w:p w:rsidR="009952D3" w:rsidRPr="009952D3" w:rsidRDefault="009A0CF9" w:rsidP="009A0CF9">
      <w:pPr>
        <w:pStyle w:val="SingleTxt"/>
        <w:jc w:val="right"/>
        <w:rPr>
          <w:lang w:val="fr-FR"/>
        </w:rPr>
      </w:pPr>
      <w:r w:rsidRPr="009A0CF9">
        <w:rPr>
          <w:lang w:val="fr-FR"/>
        </w:rPr>
        <w:t>Le Secrétaire général adjoint à la gestion</w:t>
      </w:r>
      <w:r>
        <w:rPr>
          <w:lang w:val="fr-FR"/>
        </w:rPr>
        <w:br/>
      </w:r>
      <w:r w:rsidRPr="009A0CF9">
        <w:rPr>
          <w:lang w:val="fr-FR"/>
        </w:rPr>
        <w:t>(</w:t>
      </w:r>
      <w:r w:rsidRPr="009A0CF9">
        <w:rPr>
          <w:i/>
          <w:lang w:val="fr-FR"/>
        </w:rPr>
        <w:t>Signé</w:t>
      </w:r>
      <w:r w:rsidRPr="009A0CF9">
        <w:rPr>
          <w:lang w:val="fr-FR"/>
        </w:rPr>
        <w:t xml:space="preserve">) </w:t>
      </w:r>
      <w:proofErr w:type="spellStart"/>
      <w:r w:rsidRPr="009A0CF9">
        <w:rPr>
          <w:lang w:val="fr-FR"/>
        </w:rPr>
        <w:t>Yukio</w:t>
      </w:r>
      <w:proofErr w:type="spellEnd"/>
      <w:r w:rsidRPr="009A0CF9">
        <w:rPr>
          <w:lang w:val="fr-FR"/>
        </w:rPr>
        <w:t xml:space="preserve"> </w:t>
      </w:r>
      <w:proofErr w:type="spellStart"/>
      <w:r w:rsidRPr="009A0CF9">
        <w:rPr>
          <w:b/>
          <w:lang w:val="fr-FR"/>
        </w:rPr>
        <w:t>Takasu</w:t>
      </w:r>
      <w:proofErr w:type="spellEnd"/>
    </w:p>
    <w:p w:rsidR="009A0CF9" w:rsidRDefault="009A0CF9">
      <w:pPr>
        <w:spacing w:line="240" w:lineRule="auto"/>
        <w:rPr>
          <w:lang w:val="fr-FR"/>
        </w:rPr>
      </w:pPr>
      <w:r>
        <w:rPr>
          <w:lang w:val="fr-FR"/>
        </w:rPr>
        <w:br w:type="page"/>
      </w:r>
    </w:p>
    <w:p w:rsidR="009A0CF9" w:rsidRPr="009A0CF9" w:rsidRDefault="009A0CF9" w:rsidP="009A0C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9A0CF9">
        <w:rPr>
          <w:lang w:val="fr-FR"/>
        </w:rPr>
        <w:t xml:space="preserve">Annexe </w:t>
      </w:r>
    </w:p>
    <w:p w:rsidR="009A0CF9" w:rsidRPr="009A0CF9" w:rsidRDefault="009A0CF9" w:rsidP="009A0CF9">
      <w:pPr>
        <w:pStyle w:val="SingleTxt"/>
        <w:spacing w:after="0" w:line="120" w:lineRule="exact"/>
        <w:rPr>
          <w:sz w:val="10"/>
          <w:lang w:val="fr-FR"/>
        </w:rPr>
      </w:pPr>
    </w:p>
    <w:p w:rsidR="009952D3" w:rsidRDefault="009A0CF9" w:rsidP="009A0CF9">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A0CF9">
        <w:rPr>
          <w:lang w:val="fr-FR"/>
        </w:rPr>
        <w:t>Montants payables au titre du régime de la prime</w:t>
      </w:r>
      <w:r>
        <w:rPr>
          <w:lang w:val="fr-FR"/>
        </w:rPr>
        <w:br/>
      </w:r>
      <w:r w:rsidRPr="009A0CF9">
        <w:rPr>
          <w:lang w:val="fr-FR"/>
        </w:rPr>
        <w:t>de mobilité et de sujétion</w:t>
      </w:r>
    </w:p>
    <w:p w:rsidR="009A0CF9" w:rsidRPr="009A0CF9" w:rsidRDefault="009A0CF9" w:rsidP="009A0CF9">
      <w:pPr>
        <w:pStyle w:val="SingleTxt"/>
        <w:spacing w:after="0" w:line="120" w:lineRule="exact"/>
        <w:rPr>
          <w:sz w:val="10"/>
          <w:lang w:val="fr-FR"/>
        </w:rPr>
      </w:pPr>
    </w:p>
    <w:p w:rsidR="009A0CF9" w:rsidRPr="009A0CF9" w:rsidRDefault="009A0CF9" w:rsidP="009A0CF9">
      <w:pPr>
        <w:pStyle w:val="SingleTxt"/>
        <w:spacing w:after="0" w:line="120" w:lineRule="exact"/>
        <w:rPr>
          <w:sz w:val="10"/>
          <w:lang w:val="fr-FR"/>
        </w:rPr>
      </w:pPr>
    </w:p>
    <w:p w:rsidR="009A0CF9" w:rsidRPr="009A0CF9" w:rsidRDefault="009A0CF9" w:rsidP="009A0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A0CF9">
        <w:rPr>
          <w:lang w:val="fr-FR"/>
        </w:rPr>
        <w:t>(À compter du 1</w:t>
      </w:r>
      <w:r w:rsidRPr="009A0CF9">
        <w:rPr>
          <w:vertAlign w:val="superscript"/>
          <w:lang w:val="fr-FR"/>
        </w:rPr>
        <w:t>er</w:t>
      </w:r>
      <w:r w:rsidRPr="009A0CF9">
        <w:rPr>
          <w:lang w:val="fr-FR"/>
        </w:rPr>
        <w:t xml:space="preserve"> juillet 2016) </w:t>
      </w:r>
    </w:p>
    <w:p w:rsidR="009A0CF9" w:rsidRPr="009A0CF9" w:rsidRDefault="009A0CF9" w:rsidP="009A0CF9">
      <w:pPr>
        <w:pStyle w:val="SingleTxt"/>
        <w:spacing w:after="0" w:line="120" w:lineRule="exact"/>
        <w:rPr>
          <w:sz w:val="10"/>
          <w:lang w:val="fr-FR"/>
        </w:rPr>
      </w:pPr>
    </w:p>
    <w:p w:rsidR="009A0CF9" w:rsidRPr="009A0CF9" w:rsidRDefault="009A0CF9" w:rsidP="009A0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A0CF9">
        <w:rPr>
          <w:b w:val="0"/>
          <w:lang w:val="fr-FR"/>
        </w:rPr>
        <w:t>Tableau 1</w:t>
      </w:r>
      <w:r w:rsidRPr="009A0CF9">
        <w:rPr>
          <w:lang w:val="fr-FR"/>
        </w:rPr>
        <w:br/>
        <w:t>Élément d’incitation à la mobilité</w:t>
      </w:r>
    </w:p>
    <w:p w:rsidR="009A0CF9" w:rsidRPr="009A0CF9" w:rsidRDefault="009A0CF9" w:rsidP="009A0CF9">
      <w:pPr>
        <w:pStyle w:val="SingleTxt"/>
        <w:rPr>
          <w:sz w:val="14"/>
          <w:szCs w:val="14"/>
          <w:lang w:val="fr-FR"/>
        </w:rPr>
      </w:pPr>
      <w:r w:rsidRPr="009A0CF9">
        <w:rPr>
          <w:sz w:val="14"/>
          <w:szCs w:val="14"/>
          <w:lang w:val="fr-FR"/>
        </w:rPr>
        <w:t>(Montant annuel en dollars des États-Unis)</w:t>
      </w:r>
    </w:p>
    <w:p w:rsidR="009A0CF9" w:rsidRPr="009A0CF9" w:rsidRDefault="009A0CF9" w:rsidP="009A0CF9">
      <w:pPr>
        <w:pStyle w:val="SingleTxt"/>
        <w:spacing w:after="0" w:line="120" w:lineRule="exact"/>
        <w:rPr>
          <w:b/>
          <w:sz w:val="10"/>
          <w:lang w:val="fr-FR"/>
        </w:rPr>
      </w:pPr>
    </w:p>
    <w:p w:rsidR="009A0CF9" w:rsidRDefault="009A0CF9" w:rsidP="009A0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9A0CF9">
        <w:rPr>
          <w:lang w:val="fr-FR"/>
        </w:rPr>
        <w:t>Groupe 1 (P-1 à P-3)</w:t>
      </w:r>
    </w:p>
    <w:p w:rsidR="009A0CF9" w:rsidRPr="009A0CF9" w:rsidRDefault="009A0CF9" w:rsidP="009A0CF9">
      <w:pPr>
        <w:pStyle w:val="SingleTxt"/>
        <w:spacing w:after="0" w:line="120" w:lineRule="exact"/>
        <w:rPr>
          <w:sz w:val="10"/>
          <w:lang w:val="fr-FR"/>
        </w:rPr>
      </w:pPr>
    </w:p>
    <w:p w:rsidR="009A0CF9" w:rsidRPr="000E77C7" w:rsidRDefault="009A0CF9" w:rsidP="009A0CF9">
      <w:pPr>
        <w:pStyle w:val="SingleTxt"/>
        <w:spacing w:after="0" w:line="240" w:lineRule="auto"/>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5"/>
        <w:gridCol w:w="1303"/>
        <w:gridCol w:w="1304"/>
        <w:gridCol w:w="1303"/>
        <w:gridCol w:w="1317"/>
      </w:tblGrid>
      <w:tr w:rsidR="009A0CF9" w:rsidRPr="000E77C7" w:rsidTr="000C5B54">
        <w:trPr>
          <w:tblHeader/>
        </w:trPr>
        <w:tc>
          <w:tcPr>
            <w:tcW w:w="2095" w:type="dxa"/>
            <w:vMerge w:val="restart"/>
            <w:tcBorders>
              <w:top w:val="single" w:sz="4" w:space="0" w:color="auto"/>
            </w:tcBorders>
            <w:shd w:val="clear" w:color="auto" w:fill="auto"/>
            <w:vAlign w:val="bottom"/>
          </w:tcPr>
          <w:p w:rsidR="009A0CF9" w:rsidRPr="000E77C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rPr>
                <w:i/>
                <w:sz w:val="14"/>
              </w:rPr>
            </w:pPr>
            <w:r w:rsidRPr="00D674EC">
              <w:rPr>
                <w:i/>
                <w:sz w:val="14"/>
                <w:lang w:val="fr-FR"/>
              </w:rPr>
              <w:t>Catégorie du lieu d’affectation</w:t>
            </w:r>
          </w:p>
        </w:tc>
        <w:tc>
          <w:tcPr>
            <w:tcW w:w="5227" w:type="dxa"/>
            <w:gridSpan w:val="4"/>
            <w:tcBorders>
              <w:top w:val="single" w:sz="4" w:space="0" w:color="auto"/>
              <w:bottom w:val="single" w:sz="4" w:space="0" w:color="auto"/>
            </w:tcBorders>
            <w:shd w:val="clear" w:color="auto" w:fill="auto"/>
            <w:vAlign w:val="bottom"/>
          </w:tcPr>
          <w:p w:rsidR="009A0CF9" w:rsidRPr="000E77C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center"/>
              <w:rPr>
                <w:i/>
                <w:sz w:val="14"/>
              </w:rPr>
            </w:pPr>
            <w:r w:rsidRPr="00A967D1">
              <w:rPr>
                <w:i/>
                <w:color w:val="000000"/>
                <w:sz w:val="14"/>
                <w:szCs w:val="14"/>
              </w:rPr>
              <w:t>Nombre d’affectations</w:t>
            </w:r>
          </w:p>
        </w:tc>
      </w:tr>
      <w:tr w:rsidR="009A0CF9" w:rsidRPr="000E77C7" w:rsidTr="000C5B54">
        <w:trPr>
          <w:tblHeader/>
        </w:trPr>
        <w:tc>
          <w:tcPr>
            <w:tcW w:w="2095" w:type="dxa"/>
            <w:vMerge/>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rPr>
                <w:i/>
                <w:sz w:val="14"/>
              </w:rPr>
            </w:pPr>
          </w:p>
        </w:tc>
        <w:tc>
          <w:tcPr>
            <w:tcW w:w="1303" w:type="dxa"/>
            <w:tcBorders>
              <w:top w:val="single" w:sz="4" w:space="0" w:color="auto"/>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right"/>
              <w:rPr>
                <w:i/>
                <w:sz w:val="14"/>
              </w:rPr>
            </w:pPr>
            <w:r w:rsidRPr="000E77C7">
              <w:rPr>
                <w:i/>
                <w:sz w:val="14"/>
              </w:rPr>
              <w:t>1</w:t>
            </w:r>
          </w:p>
        </w:tc>
        <w:tc>
          <w:tcPr>
            <w:tcW w:w="1304" w:type="dxa"/>
            <w:tcBorders>
              <w:top w:val="single" w:sz="4" w:space="0" w:color="auto"/>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right"/>
              <w:rPr>
                <w:i/>
                <w:sz w:val="14"/>
              </w:rPr>
            </w:pPr>
            <w:r w:rsidRPr="000E77C7">
              <w:rPr>
                <w:i/>
                <w:sz w:val="14"/>
              </w:rPr>
              <w:t xml:space="preserve"> 2-3</w:t>
            </w:r>
          </w:p>
        </w:tc>
        <w:tc>
          <w:tcPr>
            <w:tcW w:w="1303" w:type="dxa"/>
            <w:tcBorders>
              <w:top w:val="single" w:sz="4" w:space="0" w:color="auto"/>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right"/>
              <w:rPr>
                <w:i/>
                <w:sz w:val="14"/>
              </w:rPr>
            </w:pPr>
            <w:r w:rsidRPr="000E77C7">
              <w:rPr>
                <w:i/>
                <w:sz w:val="14"/>
              </w:rPr>
              <w:t xml:space="preserve">4-6 </w:t>
            </w:r>
          </w:p>
        </w:tc>
        <w:tc>
          <w:tcPr>
            <w:tcW w:w="1317" w:type="dxa"/>
            <w:tcBorders>
              <w:top w:val="single" w:sz="4" w:space="0" w:color="auto"/>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right"/>
              <w:rPr>
                <w:i/>
                <w:sz w:val="14"/>
              </w:rPr>
            </w:pPr>
            <w:r w:rsidRPr="000E77C7">
              <w:rPr>
                <w:i/>
                <w:sz w:val="14"/>
              </w:rPr>
              <w:t xml:space="preserve"> 7+ </w:t>
            </w:r>
          </w:p>
        </w:tc>
      </w:tr>
      <w:tr w:rsidR="009A0CF9" w:rsidRPr="000E77C7" w:rsidTr="000C5B54">
        <w:trPr>
          <w:trHeight w:hRule="exact" w:val="115"/>
          <w:tblHeader/>
        </w:trPr>
        <w:tc>
          <w:tcPr>
            <w:tcW w:w="2095"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0"/>
              <w:rPr>
                <w:sz w:val="17"/>
              </w:rPr>
            </w:pPr>
          </w:p>
        </w:tc>
        <w:tc>
          <w:tcPr>
            <w:tcW w:w="1303"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c>
          <w:tcPr>
            <w:tcW w:w="1304"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c>
          <w:tcPr>
            <w:tcW w:w="1303"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c>
          <w:tcPr>
            <w:tcW w:w="1317"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r>
      <w:tr w:rsidR="009A0CF9" w:rsidRPr="000E77C7" w:rsidTr="000C5B54">
        <w:tc>
          <w:tcPr>
            <w:tcW w:w="2095" w:type="dxa"/>
            <w:tcBorders>
              <w:bottom w:val="single" w:sz="12" w:space="0" w:color="auto"/>
            </w:tcBorders>
            <w:shd w:val="clear" w:color="auto" w:fill="auto"/>
            <w:vAlign w:val="bottom"/>
          </w:tcPr>
          <w:p w:rsidR="009A0CF9" w:rsidRPr="000E77C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0"/>
              <w:rPr>
                <w:sz w:val="17"/>
              </w:rPr>
            </w:pPr>
            <w:r>
              <w:rPr>
                <w:sz w:val="17"/>
              </w:rPr>
              <w:t>A à</w:t>
            </w:r>
            <w:r w:rsidR="009A0CF9" w:rsidRPr="000E77C7">
              <w:rPr>
                <w:sz w:val="17"/>
              </w:rPr>
              <w:t xml:space="preserve"> E</w:t>
            </w:r>
          </w:p>
        </w:tc>
        <w:tc>
          <w:tcPr>
            <w:tcW w:w="1303" w:type="dxa"/>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Pr>
                <w:sz w:val="17"/>
              </w:rPr>
              <w:t>–</w:t>
            </w:r>
            <w:r w:rsidRPr="000E77C7">
              <w:rPr>
                <w:sz w:val="17"/>
              </w:rPr>
              <w:t xml:space="preserve"> </w:t>
            </w:r>
          </w:p>
        </w:tc>
        <w:tc>
          <w:tcPr>
            <w:tcW w:w="1304" w:type="dxa"/>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0E77C7">
              <w:rPr>
                <w:sz w:val="17"/>
              </w:rPr>
              <w:t xml:space="preserve">6 500 </w:t>
            </w:r>
          </w:p>
        </w:tc>
        <w:tc>
          <w:tcPr>
            <w:tcW w:w="1303" w:type="dxa"/>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0E77C7">
              <w:rPr>
                <w:sz w:val="17"/>
              </w:rPr>
              <w:t>8 125</w:t>
            </w:r>
          </w:p>
        </w:tc>
        <w:tc>
          <w:tcPr>
            <w:tcW w:w="1317" w:type="dxa"/>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0E77C7">
              <w:rPr>
                <w:sz w:val="17"/>
              </w:rPr>
              <w:t>9 750</w:t>
            </w:r>
          </w:p>
        </w:tc>
      </w:tr>
    </w:tbl>
    <w:p w:rsidR="009A0CF9" w:rsidRPr="000E77C7" w:rsidRDefault="009A0CF9" w:rsidP="009A0CF9">
      <w:pPr>
        <w:pStyle w:val="SingleTxt"/>
        <w:spacing w:after="0" w:line="240" w:lineRule="auto"/>
        <w:rPr>
          <w:sz w:val="10"/>
        </w:rPr>
      </w:pPr>
    </w:p>
    <w:p w:rsidR="009A0CF9" w:rsidRPr="000E77C7" w:rsidRDefault="009A0CF9" w:rsidP="009A0CF9">
      <w:pPr>
        <w:pStyle w:val="SingleTxt"/>
        <w:spacing w:after="0" w:line="240" w:lineRule="auto"/>
        <w:rPr>
          <w:sz w:val="10"/>
        </w:rPr>
      </w:pPr>
    </w:p>
    <w:p w:rsidR="009A0CF9" w:rsidRDefault="009A0CF9" w:rsidP="009A0CF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Groupe 2 (P-4 et P-5)</w:t>
      </w:r>
    </w:p>
    <w:p w:rsidR="009A0CF9" w:rsidRPr="000E77C7" w:rsidRDefault="009A0CF9" w:rsidP="009A0CF9">
      <w:pPr>
        <w:pStyle w:val="SingleTxt"/>
        <w:spacing w:after="0" w:line="240" w:lineRule="auto"/>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5"/>
        <w:gridCol w:w="1303"/>
        <w:gridCol w:w="1304"/>
        <w:gridCol w:w="1303"/>
        <w:gridCol w:w="1317"/>
      </w:tblGrid>
      <w:tr w:rsidR="009A0CF9" w:rsidRPr="000E77C7" w:rsidTr="000C5B54">
        <w:trPr>
          <w:tblHeader/>
        </w:trPr>
        <w:tc>
          <w:tcPr>
            <w:tcW w:w="2095" w:type="dxa"/>
            <w:vMerge w:val="restart"/>
            <w:tcBorders>
              <w:top w:val="single" w:sz="4" w:space="0" w:color="auto"/>
            </w:tcBorders>
            <w:shd w:val="clear" w:color="auto" w:fill="auto"/>
            <w:vAlign w:val="bottom"/>
          </w:tcPr>
          <w:p w:rsidR="009A0CF9" w:rsidRPr="000E77C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3"/>
              <w:rPr>
                <w:i/>
                <w:sz w:val="14"/>
              </w:rPr>
            </w:pPr>
            <w:r w:rsidRPr="00D674EC">
              <w:rPr>
                <w:i/>
                <w:sz w:val="14"/>
                <w:lang w:val="fr-FR"/>
              </w:rPr>
              <w:t>Catégorie du lieu d’affectation</w:t>
            </w:r>
          </w:p>
        </w:tc>
        <w:tc>
          <w:tcPr>
            <w:tcW w:w="5227" w:type="dxa"/>
            <w:gridSpan w:val="4"/>
            <w:tcBorders>
              <w:top w:val="single" w:sz="4" w:space="0" w:color="auto"/>
              <w:bottom w:val="single" w:sz="4" w:space="0" w:color="auto"/>
            </w:tcBorders>
            <w:shd w:val="clear" w:color="auto" w:fill="auto"/>
            <w:vAlign w:val="bottom"/>
          </w:tcPr>
          <w:p w:rsidR="009A0CF9" w:rsidRPr="000E77C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3"/>
              <w:jc w:val="center"/>
              <w:rPr>
                <w:i/>
                <w:sz w:val="14"/>
              </w:rPr>
            </w:pPr>
            <w:r w:rsidRPr="00A967D1">
              <w:rPr>
                <w:i/>
                <w:color w:val="000000"/>
                <w:sz w:val="14"/>
                <w:szCs w:val="14"/>
              </w:rPr>
              <w:t>Nombre d’affectations</w:t>
            </w:r>
          </w:p>
        </w:tc>
      </w:tr>
      <w:tr w:rsidR="009A0CF9" w:rsidRPr="000E77C7" w:rsidTr="000C5B54">
        <w:trPr>
          <w:tblHeader/>
        </w:trPr>
        <w:tc>
          <w:tcPr>
            <w:tcW w:w="2095" w:type="dxa"/>
            <w:vMerge/>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3"/>
              <w:rPr>
                <w:i/>
                <w:sz w:val="14"/>
              </w:rPr>
            </w:pPr>
          </w:p>
        </w:tc>
        <w:tc>
          <w:tcPr>
            <w:tcW w:w="1303" w:type="dxa"/>
            <w:tcBorders>
              <w:top w:val="single" w:sz="4" w:space="0" w:color="auto"/>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3"/>
              <w:jc w:val="right"/>
              <w:rPr>
                <w:i/>
                <w:sz w:val="14"/>
              </w:rPr>
            </w:pPr>
            <w:r w:rsidRPr="000E77C7">
              <w:rPr>
                <w:i/>
                <w:sz w:val="14"/>
              </w:rPr>
              <w:t>1</w:t>
            </w:r>
          </w:p>
        </w:tc>
        <w:tc>
          <w:tcPr>
            <w:tcW w:w="1304" w:type="dxa"/>
            <w:tcBorders>
              <w:top w:val="single" w:sz="4" w:space="0" w:color="auto"/>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3"/>
              <w:jc w:val="right"/>
              <w:rPr>
                <w:i/>
                <w:sz w:val="14"/>
              </w:rPr>
            </w:pPr>
            <w:r w:rsidRPr="000E77C7">
              <w:rPr>
                <w:i/>
                <w:sz w:val="14"/>
              </w:rPr>
              <w:t xml:space="preserve"> 2-3 </w:t>
            </w:r>
          </w:p>
        </w:tc>
        <w:tc>
          <w:tcPr>
            <w:tcW w:w="1303" w:type="dxa"/>
            <w:tcBorders>
              <w:top w:val="single" w:sz="4" w:space="0" w:color="auto"/>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3"/>
              <w:jc w:val="right"/>
              <w:rPr>
                <w:i/>
                <w:sz w:val="14"/>
              </w:rPr>
            </w:pPr>
            <w:r w:rsidRPr="000E77C7">
              <w:rPr>
                <w:i/>
                <w:sz w:val="14"/>
              </w:rPr>
              <w:t xml:space="preserve">4-6 </w:t>
            </w:r>
          </w:p>
        </w:tc>
        <w:tc>
          <w:tcPr>
            <w:tcW w:w="1317" w:type="dxa"/>
            <w:tcBorders>
              <w:top w:val="single" w:sz="4" w:space="0" w:color="auto"/>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3"/>
              <w:jc w:val="right"/>
              <w:rPr>
                <w:i/>
                <w:sz w:val="14"/>
              </w:rPr>
            </w:pPr>
            <w:r w:rsidRPr="000E77C7">
              <w:rPr>
                <w:i/>
                <w:sz w:val="14"/>
              </w:rPr>
              <w:t xml:space="preserve"> 7+ </w:t>
            </w:r>
          </w:p>
        </w:tc>
      </w:tr>
      <w:tr w:rsidR="009A0CF9" w:rsidRPr="000E77C7" w:rsidTr="000C5B54">
        <w:trPr>
          <w:trHeight w:hRule="exact" w:val="115"/>
          <w:tblHeader/>
        </w:trPr>
        <w:tc>
          <w:tcPr>
            <w:tcW w:w="2095"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rPr>
                <w:sz w:val="17"/>
              </w:rPr>
            </w:pPr>
          </w:p>
        </w:tc>
        <w:tc>
          <w:tcPr>
            <w:tcW w:w="1303"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sz w:val="17"/>
              </w:rPr>
            </w:pPr>
          </w:p>
        </w:tc>
        <w:tc>
          <w:tcPr>
            <w:tcW w:w="1304"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sz w:val="17"/>
              </w:rPr>
            </w:pPr>
          </w:p>
        </w:tc>
        <w:tc>
          <w:tcPr>
            <w:tcW w:w="1303"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sz w:val="17"/>
              </w:rPr>
            </w:pPr>
          </w:p>
        </w:tc>
        <w:tc>
          <w:tcPr>
            <w:tcW w:w="1317" w:type="dxa"/>
            <w:tcBorders>
              <w:top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sz w:val="17"/>
              </w:rPr>
            </w:pPr>
          </w:p>
        </w:tc>
      </w:tr>
      <w:tr w:rsidR="009A0CF9" w:rsidRPr="000E77C7" w:rsidTr="000C5B54">
        <w:tc>
          <w:tcPr>
            <w:tcW w:w="2095" w:type="dxa"/>
            <w:tcBorders>
              <w:bottom w:val="single" w:sz="12" w:space="0" w:color="auto"/>
            </w:tcBorders>
            <w:shd w:val="clear" w:color="auto" w:fill="auto"/>
            <w:vAlign w:val="bottom"/>
          </w:tcPr>
          <w:p w:rsidR="009A0CF9" w:rsidRPr="000E77C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rPr>
                <w:sz w:val="17"/>
              </w:rPr>
            </w:pPr>
            <w:r>
              <w:rPr>
                <w:sz w:val="17"/>
              </w:rPr>
              <w:t>A à</w:t>
            </w:r>
            <w:r w:rsidR="009A0CF9" w:rsidRPr="000E77C7">
              <w:rPr>
                <w:sz w:val="17"/>
              </w:rPr>
              <w:t xml:space="preserve"> E</w:t>
            </w:r>
          </w:p>
        </w:tc>
        <w:tc>
          <w:tcPr>
            <w:tcW w:w="1303" w:type="dxa"/>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0E77C7">
              <w:rPr>
                <w:sz w:val="17"/>
              </w:rPr>
              <w:t xml:space="preserve"> </w:t>
            </w:r>
            <w:r>
              <w:rPr>
                <w:sz w:val="17"/>
              </w:rPr>
              <w:t>–</w:t>
            </w:r>
            <w:r w:rsidRPr="000E77C7">
              <w:rPr>
                <w:sz w:val="17"/>
              </w:rPr>
              <w:t xml:space="preserve"> </w:t>
            </w:r>
          </w:p>
        </w:tc>
        <w:tc>
          <w:tcPr>
            <w:tcW w:w="1304" w:type="dxa"/>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0E77C7">
              <w:rPr>
                <w:sz w:val="17"/>
              </w:rPr>
              <w:t>8 125</w:t>
            </w:r>
          </w:p>
        </w:tc>
        <w:tc>
          <w:tcPr>
            <w:tcW w:w="1303" w:type="dxa"/>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0E77C7">
              <w:rPr>
                <w:sz w:val="17"/>
              </w:rPr>
              <w:t>10 156</w:t>
            </w:r>
          </w:p>
        </w:tc>
        <w:tc>
          <w:tcPr>
            <w:tcW w:w="1317" w:type="dxa"/>
            <w:tcBorders>
              <w:bottom w:val="single" w:sz="12" w:space="0" w:color="auto"/>
            </w:tcBorders>
            <w:shd w:val="clear" w:color="auto" w:fill="auto"/>
            <w:vAlign w:val="bottom"/>
          </w:tcPr>
          <w:p w:rsidR="009A0CF9" w:rsidRPr="000E77C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0E77C7">
              <w:rPr>
                <w:sz w:val="17"/>
              </w:rPr>
              <w:t>12 188</w:t>
            </w:r>
          </w:p>
        </w:tc>
      </w:tr>
    </w:tbl>
    <w:p w:rsidR="009A0CF9" w:rsidRPr="00182267" w:rsidRDefault="009A0CF9" w:rsidP="009A0CF9">
      <w:pPr>
        <w:pStyle w:val="SingleTxt"/>
        <w:spacing w:after="0" w:line="240" w:lineRule="auto"/>
        <w:rPr>
          <w:sz w:val="10"/>
        </w:rPr>
      </w:pPr>
    </w:p>
    <w:p w:rsidR="009A0CF9" w:rsidRPr="00182267" w:rsidRDefault="009A0CF9" w:rsidP="009A0CF9">
      <w:pPr>
        <w:pStyle w:val="SingleTxt"/>
        <w:spacing w:after="0" w:line="240" w:lineRule="auto"/>
        <w:rPr>
          <w:sz w:val="10"/>
        </w:rPr>
      </w:pPr>
    </w:p>
    <w:p w:rsidR="009A0CF9" w:rsidRDefault="00D674EC" w:rsidP="00D67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9A0CF9">
        <w:t>Group</w:t>
      </w:r>
      <w:r>
        <w:t>e</w:t>
      </w:r>
      <w:r w:rsidR="009A0CF9">
        <w:t xml:space="preserve"> 3 (D-1</w:t>
      </w:r>
      <w:r>
        <w:t xml:space="preserve"> </w:t>
      </w:r>
      <w:r w:rsidRPr="00D674EC">
        <w:rPr>
          <w:lang w:val="fr-FR"/>
        </w:rPr>
        <w:t>et au-delà</w:t>
      </w:r>
      <w:r w:rsidR="009A0CF9">
        <w:t>)</w:t>
      </w:r>
    </w:p>
    <w:p w:rsidR="009A0CF9" w:rsidRPr="00182267" w:rsidRDefault="009A0CF9" w:rsidP="009A0CF9">
      <w:pPr>
        <w:pStyle w:val="SingleTxt"/>
        <w:spacing w:after="0" w:line="240" w:lineRule="auto"/>
        <w:rPr>
          <w:sz w:val="10"/>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95"/>
        <w:gridCol w:w="1303"/>
        <w:gridCol w:w="1304"/>
        <w:gridCol w:w="1303"/>
        <w:gridCol w:w="1317"/>
      </w:tblGrid>
      <w:tr w:rsidR="009A0CF9" w:rsidRPr="00182267" w:rsidTr="000C5B54">
        <w:trPr>
          <w:tblHeader/>
        </w:trPr>
        <w:tc>
          <w:tcPr>
            <w:tcW w:w="2095" w:type="dxa"/>
            <w:vMerge w:val="restart"/>
            <w:tcBorders>
              <w:top w:val="single" w:sz="4" w:space="0" w:color="auto"/>
            </w:tcBorders>
            <w:shd w:val="clear" w:color="auto" w:fill="auto"/>
            <w:vAlign w:val="bottom"/>
          </w:tcPr>
          <w:p w:rsidR="009A0CF9" w:rsidRPr="0018226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rPr>
                <w:i/>
                <w:sz w:val="14"/>
              </w:rPr>
            </w:pPr>
            <w:r w:rsidRPr="00D674EC">
              <w:rPr>
                <w:i/>
                <w:sz w:val="14"/>
                <w:lang w:val="fr-FR"/>
              </w:rPr>
              <w:t>Catégorie du lieu d’affectation</w:t>
            </w:r>
          </w:p>
        </w:tc>
        <w:tc>
          <w:tcPr>
            <w:tcW w:w="5227" w:type="dxa"/>
            <w:gridSpan w:val="4"/>
            <w:tcBorders>
              <w:top w:val="single" w:sz="4" w:space="0" w:color="auto"/>
              <w:bottom w:val="single" w:sz="4" w:space="0" w:color="auto"/>
            </w:tcBorders>
            <w:shd w:val="clear" w:color="auto" w:fill="auto"/>
            <w:vAlign w:val="bottom"/>
          </w:tcPr>
          <w:p w:rsidR="009A0CF9" w:rsidRPr="0018226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center"/>
              <w:rPr>
                <w:i/>
                <w:sz w:val="14"/>
              </w:rPr>
            </w:pPr>
            <w:r w:rsidRPr="00A967D1">
              <w:rPr>
                <w:i/>
                <w:color w:val="000000"/>
                <w:sz w:val="14"/>
                <w:szCs w:val="14"/>
              </w:rPr>
              <w:t>Nombre d’affectations</w:t>
            </w:r>
          </w:p>
        </w:tc>
      </w:tr>
      <w:tr w:rsidR="009A0CF9" w:rsidRPr="00182267" w:rsidTr="000C5B54">
        <w:trPr>
          <w:tblHeader/>
        </w:trPr>
        <w:tc>
          <w:tcPr>
            <w:tcW w:w="2095" w:type="dxa"/>
            <w:vMerge/>
            <w:tcBorders>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0"/>
              <w:rPr>
                <w:i/>
                <w:sz w:val="14"/>
              </w:rPr>
            </w:pPr>
          </w:p>
        </w:tc>
        <w:tc>
          <w:tcPr>
            <w:tcW w:w="1303" w:type="dxa"/>
            <w:tcBorders>
              <w:top w:val="single" w:sz="4" w:space="0" w:color="auto"/>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right"/>
              <w:rPr>
                <w:i/>
                <w:sz w:val="14"/>
              </w:rPr>
            </w:pPr>
            <w:r w:rsidRPr="00182267">
              <w:rPr>
                <w:i/>
                <w:sz w:val="14"/>
              </w:rPr>
              <w:t xml:space="preserve"> 1 </w:t>
            </w:r>
          </w:p>
        </w:tc>
        <w:tc>
          <w:tcPr>
            <w:tcW w:w="1304" w:type="dxa"/>
            <w:tcBorders>
              <w:top w:val="single" w:sz="4" w:space="0" w:color="auto"/>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right"/>
              <w:rPr>
                <w:i/>
                <w:sz w:val="14"/>
              </w:rPr>
            </w:pPr>
            <w:r w:rsidRPr="00182267">
              <w:rPr>
                <w:i/>
                <w:sz w:val="14"/>
              </w:rPr>
              <w:t xml:space="preserve"> 2-3 </w:t>
            </w:r>
          </w:p>
        </w:tc>
        <w:tc>
          <w:tcPr>
            <w:tcW w:w="1303" w:type="dxa"/>
            <w:tcBorders>
              <w:top w:val="single" w:sz="4" w:space="0" w:color="auto"/>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right"/>
              <w:rPr>
                <w:i/>
                <w:sz w:val="14"/>
              </w:rPr>
            </w:pPr>
            <w:r w:rsidRPr="00182267">
              <w:rPr>
                <w:i/>
                <w:sz w:val="14"/>
              </w:rPr>
              <w:t xml:space="preserve">4-6 </w:t>
            </w:r>
          </w:p>
        </w:tc>
        <w:tc>
          <w:tcPr>
            <w:tcW w:w="1317" w:type="dxa"/>
            <w:tcBorders>
              <w:top w:val="single" w:sz="4" w:space="0" w:color="auto"/>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0"/>
              <w:jc w:val="right"/>
              <w:rPr>
                <w:i/>
                <w:sz w:val="14"/>
              </w:rPr>
            </w:pPr>
            <w:r w:rsidRPr="00182267">
              <w:rPr>
                <w:i/>
                <w:sz w:val="14"/>
              </w:rPr>
              <w:t xml:space="preserve"> 7+ </w:t>
            </w:r>
          </w:p>
        </w:tc>
      </w:tr>
      <w:tr w:rsidR="009A0CF9" w:rsidRPr="00182267" w:rsidTr="000C5B54">
        <w:trPr>
          <w:trHeight w:hRule="exact" w:val="115"/>
          <w:tblHeader/>
        </w:trPr>
        <w:tc>
          <w:tcPr>
            <w:tcW w:w="2095" w:type="dxa"/>
            <w:tcBorders>
              <w:top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0"/>
              <w:rPr>
                <w:sz w:val="17"/>
              </w:rPr>
            </w:pPr>
          </w:p>
        </w:tc>
        <w:tc>
          <w:tcPr>
            <w:tcW w:w="1303" w:type="dxa"/>
            <w:tcBorders>
              <w:top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c>
          <w:tcPr>
            <w:tcW w:w="1304" w:type="dxa"/>
            <w:tcBorders>
              <w:top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c>
          <w:tcPr>
            <w:tcW w:w="1303" w:type="dxa"/>
            <w:tcBorders>
              <w:top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c>
          <w:tcPr>
            <w:tcW w:w="1317" w:type="dxa"/>
            <w:tcBorders>
              <w:top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r>
      <w:tr w:rsidR="009A0CF9" w:rsidRPr="00182267" w:rsidTr="000C5B54">
        <w:tc>
          <w:tcPr>
            <w:tcW w:w="2095" w:type="dxa"/>
            <w:tcBorders>
              <w:bottom w:val="single" w:sz="12" w:space="0" w:color="auto"/>
            </w:tcBorders>
            <w:shd w:val="clear" w:color="auto" w:fill="auto"/>
            <w:vAlign w:val="bottom"/>
          </w:tcPr>
          <w:p w:rsidR="009A0CF9" w:rsidRPr="00182267"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0"/>
              <w:rPr>
                <w:sz w:val="17"/>
              </w:rPr>
            </w:pPr>
            <w:r>
              <w:rPr>
                <w:sz w:val="17"/>
              </w:rPr>
              <w:t>A à</w:t>
            </w:r>
            <w:r w:rsidR="009A0CF9" w:rsidRPr="00182267">
              <w:rPr>
                <w:sz w:val="17"/>
              </w:rPr>
              <w:t xml:space="preserve"> E</w:t>
            </w:r>
          </w:p>
        </w:tc>
        <w:tc>
          <w:tcPr>
            <w:tcW w:w="1303" w:type="dxa"/>
            <w:tcBorders>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182267">
              <w:rPr>
                <w:sz w:val="17"/>
              </w:rPr>
              <w:t xml:space="preserve"> – </w:t>
            </w:r>
          </w:p>
        </w:tc>
        <w:tc>
          <w:tcPr>
            <w:tcW w:w="1304" w:type="dxa"/>
            <w:tcBorders>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182267">
              <w:rPr>
                <w:sz w:val="17"/>
              </w:rPr>
              <w:t xml:space="preserve"> 9 750 </w:t>
            </w:r>
          </w:p>
        </w:tc>
        <w:tc>
          <w:tcPr>
            <w:tcW w:w="1303" w:type="dxa"/>
            <w:tcBorders>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182267">
              <w:rPr>
                <w:sz w:val="17"/>
              </w:rPr>
              <w:t>12 188</w:t>
            </w:r>
          </w:p>
        </w:tc>
        <w:tc>
          <w:tcPr>
            <w:tcW w:w="1317" w:type="dxa"/>
            <w:tcBorders>
              <w:bottom w:val="single" w:sz="12" w:space="0" w:color="auto"/>
            </w:tcBorders>
            <w:shd w:val="clear" w:color="auto" w:fill="auto"/>
            <w:vAlign w:val="bottom"/>
          </w:tcPr>
          <w:p w:rsidR="009A0CF9" w:rsidRPr="00182267" w:rsidRDefault="009A0CF9"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182267">
              <w:rPr>
                <w:sz w:val="17"/>
              </w:rPr>
              <w:t>14 625</w:t>
            </w:r>
          </w:p>
        </w:tc>
      </w:tr>
    </w:tbl>
    <w:p w:rsidR="009A0CF9" w:rsidRPr="00182267" w:rsidRDefault="009A0CF9" w:rsidP="009A0CF9">
      <w:pPr>
        <w:pStyle w:val="SingleTxt"/>
        <w:spacing w:after="0" w:line="240" w:lineRule="auto"/>
        <w:rPr>
          <w:sz w:val="10"/>
        </w:rPr>
      </w:pPr>
    </w:p>
    <w:p w:rsidR="009A0CF9" w:rsidRPr="00182267" w:rsidRDefault="009A0CF9" w:rsidP="009A0CF9">
      <w:pPr>
        <w:pStyle w:val="SingleTxt"/>
        <w:spacing w:after="0" w:line="240" w:lineRule="auto"/>
        <w:rPr>
          <w:sz w:val="10"/>
        </w:rPr>
      </w:pPr>
    </w:p>
    <w:p w:rsidR="00D674EC" w:rsidRPr="00D674EC" w:rsidRDefault="00D674EC" w:rsidP="00D674E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674EC">
        <w:rPr>
          <w:b w:val="0"/>
          <w:lang w:val="fr-FR"/>
        </w:rPr>
        <w:t>Tableau 2</w:t>
      </w:r>
      <w:r>
        <w:rPr>
          <w:lang w:val="fr-FR"/>
        </w:rPr>
        <w:br/>
      </w:r>
      <w:r w:rsidRPr="00D674EC">
        <w:rPr>
          <w:lang w:val="fr-FR"/>
        </w:rPr>
        <w:t>Élément sujétion</w:t>
      </w:r>
    </w:p>
    <w:p w:rsidR="009A0CF9" w:rsidRDefault="00D674EC" w:rsidP="00D674EC">
      <w:pPr>
        <w:pStyle w:val="SingleTxt"/>
        <w:rPr>
          <w:sz w:val="14"/>
          <w:szCs w:val="14"/>
          <w:lang w:val="fr-FR"/>
        </w:rPr>
      </w:pPr>
      <w:r w:rsidRPr="00D674EC">
        <w:rPr>
          <w:sz w:val="14"/>
          <w:szCs w:val="14"/>
          <w:lang w:val="fr-FR"/>
        </w:rPr>
        <w:t>(Montant annuel en dollars des États-Unis)</w:t>
      </w:r>
    </w:p>
    <w:p w:rsidR="00D674EC" w:rsidRPr="00D674EC" w:rsidRDefault="00D674EC" w:rsidP="00D674EC">
      <w:pPr>
        <w:pStyle w:val="SingleTxt"/>
        <w:spacing w:after="0" w:line="120" w:lineRule="exact"/>
        <w:rPr>
          <w:sz w:val="10"/>
          <w:szCs w:val="14"/>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063"/>
        <w:gridCol w:w="1710"/>
        <w:gridCol w:w="1710"/>
        <w:gridCol w:w="1838"/>
      </w:tblGrid>
      <w:tr w:rsidR="00D674EC" w:rsidRPr="008A2B15" w:rsidTr="0068648A">
        <w:trPr>
          <w:tblHeader/>
        </w:trPr>
        <w:tc>
          <w:tcPr>
            <w:tcW w:w="2063" w:type="dxa"/>
            <w:tcBorders>
              <w:top w:val="single" w:sz="4" w:space="0" w:color="auto"/>
              <w:bottom w:val="single" w:sz="12" w:space="0" w:color="auto"/>
            </w:tcBorders>
            <w:shd w:val="clear" w:color="auto" w:fill="auto"/>
            <w:vAlign w:val="bottom"/>
          </w:tcPr>
          <w:p w:rsidR="00D674EC" w:rsidRPr="008A2B15" w:rsidRDefault="001D534A"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0" w:right="43"/>
              <w:rPr>
                <w:i/>
                <w:sz w:val="14"/>
              </w:rPr>
            </w:pPr>
            <w:r w:rsidRPr="001D534A">
              <w:rPr>
                <w:i/>
                <w:sz w:val="14"/>
                <w:lang w:val="fr-FR"/>
              </w:rPr>
              <w:t xml:space="preserve">Catégorie </w:t>
            </w:r>
            <w:r w:rsidRPr="001D534A">
              <w:rPr>
                <w:i/>
                <w:sz w:val="14"/>
                <w:lang w:val="fr-FR"/>
              </w:rPr>
              <w:br/>
              <w:t>du lieu d’affectation</w:t>
            </w:r>
          </w:p>
        </w:tc>
        <w:tc>
          <w:tcPr>
            <w:tcW w:w="1710" w:type="dxa"/>
            <w:tcBorders>
              <w:top w:val="single" w:sz="4" w:space="0" w:color="auto"/>
              <w:bottom w:val="single" w:sz="12" w:space="0" w:color="auto"/>
            </w:tcBorders>
            <w:shd w:val="clear" w:color="auto" w:fill="auto"/>
            <w:vAlign w:val="bottom"/>
          </w:tcPr>
          <w:p w:rsidR="00D674EC" w:rsidRPr="008A2B15" w:rsidRDefault="001D534A"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3"/>
              <w:jc w:val="right"/>
              <w:rPr>
                <w:i/>
                <w:sz w:val="14"/>
              </w:rPr>
            </w:pPr>
            <w:r w:rsidRPr="001D534A">
              <w:rPr>
                <w:i/>
                <w:sz w:val="14"/>
                <w:lang w:val="fr-FR"/>
              </w:rPr>
              <w:t>Groupe 1 (P-1 à P-3)</w:t>
            </w:r>
          </w:p>
        </w:tc>
        <w:tc>
          <w:tcPr>
            <w:tcW w:w="1710" w:type="dxa"/>
            <w:tcBorders>
              <w:top w:val="single" w:sz="4" w:space="0" w:color="auto"/>
              <w:bottom w:val="single" w:sz="12" w:space="0" w:color="auto"/>
            </w:tcBorders>
            <w:shd w:val="clear" w:color="auto" w:fill="auto"/>
            <w:vAlign w:val="bottom"/>
          </w:tcPr>
          <w:p w:rsidR="00D674EC" w:rsidRPr="008A2B15" w:rsidRDefault="001D534A"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3"/>
              <w:jc w:val="right"/>
              <w:rPr>
                <w:i/>
                <w:sz w:val="14"/>
              </w:rPr>
            </w:pPr>
            <w:r w:rsidRPr="00A967D1">
              <w:rPr>
                <w:i/>
                <w:sz w:val="14"/>
                <w:lang w:val="fr-FR"/>
              </w:rPr>
              <w:t>Groupe 2 (P-4 et P-5)</w:t>
            </w:r>
          </w:p>
        </w:tc>
        <w:tc>
          <w:tcPr>
            <w:tcW w:w="1838" w:type="dxa"/>
            <w:tcBorders>
              <w:top w:val="single" w:sz="4" w:space="0" w:color="auto"/>
              <w:bottom w:val="single" w:sz="12" w:space="0" w:color="auto"/>
            </w:tcBorders>
            <w:shd w:val="clear" w:color="auto" w:fill="auto"/>
            <w:vAlign w:val="bottom"/>
          </w:tcPr>
          <w:p w:rsidR="00D674EC" w:rsidRPr="008A2B15" w:rsidRDefault="001D534A"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240" w:lineRule="auto"/>
              <w:ind w:left="144" w:right="43"/>
              <w:jc w:val="right"/>
              <w:rPr>
                <w:i/>
                <w:sz w:val="14"/>
              </w:rPr>
            </w:pPr>
            <w:r w:rsidRPr="00A967D1">
              <w:rPr>
                <w:i/>
                <w:sz w:val="14"/>
                <w:lang w:val="fr-FR"/>
              </w:rPr>
              <w:t>Groupe 3 (D-1 et au-delà</w:t>
            </w:r>
            <w:r w:rsidR="0068648A">
              <w:rPr>
                <w:i/>
                <w:sz w:val="14"/>
                <w:lang w:val="fr-FR"/>
              </w:rPr>
              <w:t>)</w:t>
            </w:r>
          </w:p>
        </w:tc>
      </w:tr>
      <w:tr w:rsidR="00D674EC" w:rsidRPr="008A2B15" w:rsidTr="0068648A">
        <w:trPr>
          <w:trHeight w:hRule="exact" w:val="115"/>
          <w:tblHeader/>
        </w:trPr>
        <w:tc>
          <w:tcPr>
            <w:tcW w:w="2063" w:type="dxa"/>
            <w:tcBorders>
              <w:top w:val="single" w:sz="12" w:space="0" w:color="auto"/>
            </w:tcBorders>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3"/>
              <w:rPr>
                <w:sz w:val="17"/>
              </w:rPr>
            </w:pPr>
          </w:p>
        </w:tc>
        <w:tc>
          <w:tcPr>
            <w:tcW w:w="1710" w:type="dxa"/>
            <w:tcBorders>
              <w:top w:val="single" w:sz="12" w:space="0" w:color="auto"/>
            </w:tcBorders>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sz w:val="17"/>
              </w:rPr>
            </w:pPr>
          </w:p>
        </w:tc>
        <w:tc>
          <w:tcPr>
            <w:tcW w:w="1710" w:type="dxa"/>
            <w:tcBorders>
              <w:top w:val="single" w:sz="12" w:space="0" w:color="auto"/>
            </w:tcBorders>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sz w:val="17"/>
              </w:rPr>
            </w:pPr>
          </w:p>
        </w:tc>
        <w:tc>
          <w:tcPr>
            <w:tcW w:w="1838" w:type="dxa"/>
            <w:tcBorders>
              <w:top w:val="single" w:sz="12" w:space="0" w:color="auto"/>
            </w:tcBorders>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3"/>
              <w:jc w:val="right"/>
              <w:rPr>
                <w:sz w:val="17"/>
              </w:rPr>
            </w:pPr>
          </w:p>
        </w:tc>
      </w:tr>
      <w:tr w:rsidR="00D674EC" w:rsidRPr="008A2B15" w:rsidTr="0068648A">
        <w:tc>
          <w:tcPr>
            <w:tcW w:w="2063"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rPr>
                <w:sz w:val="17"/>
              </w:rPr>
            </w:pPr>
            <w:r w:rsidRPr="008A2B15">
              <w:rPr>
                <w:sz w:val="17"/>
              </w:rPr>
              <w:t>H</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Pr>
                <w:sz w:val="17"/>
              </w:rPr>
              <w:t>–</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Pr>
                <w:sz w:val="17"/>
              </w:rPr>
              <w:t>–</w:t>
            </w:r>
          </w:p>
        </w:tc>
        <w:tc>
          <w:tcPr>
            <w:tcW w:w="1838"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Pr>
                <w:sz w:val="17"/>
              </w:rPr>
              <w:t>–</w:t>
            </w:r>
          </w:p>
        </w:tc>
      </w:tr>
      <w:tr w:rsidR="00D674EC" w:rsidRPr="008A2B15" w:rsidTr="0068648A">
        <w:tc>
          <w:tcPr>
            <w:tcW w:w="2063"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rPr>
                <w:sz w:val="17"/>
              </w:rPr>
            </w:pPr>
            <w:r w:rsidRPr="008A2B15">
              <w:rPr>
                <w:sz w:val="17"/>
              </w:rPr>
              <w:t>A</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Pr>
                <w:sz w:val="17"/>
              </w:rPr>
              <w:t>–</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Pr>
                <w:sz w:val="17"/>
              </w:rPr>
              <w:t>–</w:t>
            </w:r>
          </w:p>
        </w:tc>
        <w:tc>
          <w:tcPr>
            <w:tcW w:w="1838"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Pr>
                <w:sz w:val="17"/>
              </w:rPr>
              <w:t>–</w:t>
            </w:r>
          </w:p>
        </w:tc>
      </w:tr>
      <w:tr w:rsidR="00D674EC" w:rsidRPr="008A2B15" w:rsidTr="0068648A">
        <w:tc>
          <w:tcPr>
            <w:tcW w:w="2063"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rPr>
                <w:sz w:val="17"/>
              </w:rPr>
            </w:pPr>
            <w:r w:rsidRPr="008A2B15">
              <w:rPr>
                <w:sz w:val="17"/>
              </w:rPr>
              <w:t>B</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5 810</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6 970</w:t>
            </w:r>
          </w:p>
        </w:tc>
        <w:tc>
          <w:tcPr>
            <w:tcW w:w="1838"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8 140</w:t>
            </w:r>
          </w:p>
        </w:tc>
      </w:tr>
      <w:tr w:rsidR="00D674EC" w:rsidRPr="008A2B15" w:rsidTr="0068648A">
        <w:tc>
          <w:tcPr>
            <w:tcW w:w="2063"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rPr>
                <w:sz w:val="17"/>
              </w:rPr>
            </w:pPr>
            <w:r w:rsidRPr="008A2B15">
              <w:rPr>
                <w:sz w:val="17"/>
              </w:rPr>
              <w:t>C</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10 470</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12 780</w:t>
            </w:r>
          </w:p>
        </w:tc>
        <w:tc>
          <w:tcPr>
            <w:tcW w:w="1838"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15 110</w:t>
            </w:r>
          </w:p>
        </w:tc>
      </w:tr>
      <w:tr w:rsidR="00D674EC" w:rsidRPr="008A2B15" w:rsidTr="0068648A">
        <w:tc>
          <w:tcPr>
            <w:tcW w:w="2063"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rPr>
                <w:sz w:val="17"/>
              </w:rPr>
            </w:pPr>
            <w:r w:rsidRPr="008A2B15">
              <w:rPr>
                <w:sz w:val="17"/>
              </w:rPr>
              <w:t xml:space="preserve">D </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13 950</w:t>
            </w:r>
          </w:p>
        </w:tc>
        <w:tc>
          <w:tcPr>
            <w:tcW w:w="1710"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16 280</w:t>
            </w:r>
          </w:p>
        </w:tc>
        <w:tc>
          <w:tcPr>
            <w:tcW w:w="1838" w:type="dxa"/>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18 590</w:t>
            </w:r>
          </w:p>
        </w:tc>
      </w:tr>
      <w:tr w:rsidR="00D674EC" w:rsidRPr="008A2B15" w:rsidTr="0068648A">
        <w:tc>
          <w:tcPr>
            <w:tcW w:w="2063" w:type="dxa"/>
            <w:tcBorders>
              <w:bottom w:val="single" w:sz="12" w:space="0" w:color="auto"/>
            </w:tcBorders>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3"/>
              <w:rPr>
                <w:sz w:val="17"/>
              </w:rPr>
            </w:pPr>
            <w:r w:rsidRPr="008A2B15">
              <w:rPr>
                <w:sz w:val="17"/>
              </w:rPr>
              <w:t>E</w:t>
            </w:r>
          </w:p>
        </w:tc>
        <w:tc>
          <w:tcPr>
            <w:tcW w:w="1710" w:type="dxa"/>
            <w:tcBorders>
              <w:bottom w:val="single" w:sz="12" w:space="0" w:color="auto"/>
            </w:tcBorders>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17 440</w:t>
            </w:r>
          </w:p>
        </w:tc>
        <w:tc>
          <w:tcPr>
            <w:tcW w:w="1710" w:type="dxa"/>
            <w:tcBorders>
              <w:bottom w:val="single" w:sz="12" w:space="0" w:color="auto"/>
            </w:tcBorders>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20 920</w:t>
            </w:r>
          </w:p>
        </w:tc>
        <w:tc>
          <w:tcPr>
            <w:tcW w:w="1838" w:type="dxa"/>
            <w:tcBorders>
              <w:bottom w:val="single" w:sz="12" w:space="0" w:color="auto"/>
            </w:tcBorders>
            <w:shd w:val="clear" w:color="auto" w:fill="auto"/>
            <w:vAlign w:val="bottom"/>
          </w:tcPr>
          <w:p w:rsidR="00D674EC" w:rsidRPr="008A2B15"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3"/>
              <w:jc w:val="right"/>
              <w:rPr>
                <w:sz w:val="17"/>
              </w:rPr>
            </w:pPr>
            <w:r w:rsidRPr="008A2B15">
              <w:rPr>
                <w:sz w:val="17"/>
              </w:rPr>
              <w:t>23 250</w:t>
            </w:r>
          </w:p>
        </w:tc>
      </w:tr>
    </w:tbl>
    <w:p w:rsidR="00D674EC" w:rsidRPr="008A2B15" w:rsidRDefault="00D674EC" w:rsidP="00D674EC">
      <w:pPr>
        <w:pStyle w:val="SingleTxt"/>
        <w:spacing w:after="0" w:line="240" w:lineRule="auto"/>
        <w:rPr>
          <w:sz w:val="10"/>
        </w:rPr>
      </w:pPr>
    </w:p>
    <w:p w:rsidR="00D674EC" w:rsidRPr="008A2B15" w:rsidRDefault="00D674EC" w:rsidP="00D674EC">
      <w:pPr>
        <w:pStyle w:val="SingleTxt"/>
        <w:spacing w:after="0" w:line="240" w:lineRule="auto"/>
        <w:rPr>
          <w:sz w:val="10"/>
        </w:rPr>
      </w:pPr>
    </w:p>
    <w:p w:rsidR="00D674EC" w:rsidRPr="00D674EC" w:rsidRDefault="00D674EC" w:rsidP="001D534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Pr="00D674EC">
        <w:rPr>
          <w:b w:val="0"/>
          <w:lang w:val="fr-FR"/>
        </w:rPr>
        <w:t>Tableau 3</w:t>
      </w:r>
      <w:r>
        <w:rPr>
          <w:lang w:val="fr-FR"/>
        </w:rPr>
        <w:br/>
      </w:r>
      <w:r w:rsidRPr="00D674EC">
        <w:rPr>
          <w:lang w:val="fr-FR"/>
        </w:rPr>
        <w:t>Élément famille non autorisée</w:t>
      </w:r>
    </w:p>
    <w:p w:rsidR="00D674EC" w:rsidRDefault="00D674EC" w:rsidP="001D534A">
      <w:pPr>
        <w:pStyle w:val="SingleTxt"/>
        <w:keepNext/>
        <w:keepLines/>
        <w:rPr>
          <w:sz w:val="14"/>
          <w:szCs w:val="14"/>
          <w:lang w:val="fr-FR"/>
        </w:rPr>
      </w:pPr>
      <w:r w:rsidRPr="00D674EC">
        <w:rPr>
          <w:sz w:val="14"/>
          <w:szCs w:val="14"/>
          <w:lang w:val="fr-FR"/>
        </w:rPr>
        <w:t>(Montant annuel en dollars des États-Unis)</w:t>
      </w:r>
    </w:p>
    <w:p w:rsidR="00D674EC" w:rsidRPr="001D534A" w:rsidRDefault="00D674EC" w:rsidP="001D534A">
      <w:pPr>
        <w:pStyle w:val="SingleTxt"/>
        <w:keepNext/>
        <w:keepLines/>
        <w:spacing w:after="0" w:line="120" w:lineRule="exact"/>
        <w:rPr>
          <w:sz w:val="10"/>
          <w:szCs w:val="14"/>
          <w:lang w:val="fr-FR"/>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13"/>
        <w:gridCol w:w="3907"/>
      </w:tblGrid>
      <w:tr w:rsidR="00D674EC" w:rsidRPr="005E3ED8" w:rsidTr="000C5B54">
        <w:trPr>
          <w:trHeight w:hRule="exact" w:val="115"/>
          <w:tblHeader/>
        </w:trPr>
        <w:tc>
          <w:tcPr>
            <w:tcW w:w="3413" w:type="dxa"/>
            <w:tcBorders>
              <w:top w:val="single" w:sz="4" w:space="0" w:color="auto"/>
            </w:tcBorders>
            <w:shd w:val="clear" w:color="auto" w:fill="auto"/>
            <w:vAlign w:val="bottom"/>
          </w:tcPr>
          <w:p w:rsidR="00D674EC" w:rsidRPr="005E3ED8"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0" w:right="40"/>
              <w:rPr>
                <w:sz w:val="17"/>
              </w:rPr>
            </w:pPr>
          </w:p>
        </w:tc>
        <w:tc>
          <w:tcPr>
            <w:tcW w:w="3907" w:type="dxa"/>
            <w:tcBorders>
              <w:top w:val="single" w:sz="4" w:space="0" w:color="auto"/>
            </w:tcBorders>
            <w:shd w:val="clear" w:color="auto" w:fill="auto"/>
            <w:vAlign w:val="bottom"/>
          </w:tcPr>
          <w:p w:rsidR="00D674EC" w:rsidRPr="005E3ED8"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40" w:lineRule="auto"/>
              <w:ind w:left="144" w:right="40"/>
              <w:jc w:val="right"/>
              <w:rPr>
                <w:sz w:val="17"/>
              </w:rPr>
            </w:pPr>
          </w:p>
        </w:tc>
      </w:tr>
      <w:tr w:rsidR="00D674EC" w:rsidRPr="005E3ED8" w:rsidTr="000C5B54">
        <w:tc>
          <w:tcPr>
            <w:tcW w:w="3413" w:type="dxa"/>
            <w:shd w:val="clear" w:color="auto" w:fill="auto"/>
            <w:vAlign w:val="bottom"/>
          </w:tcPr>
          <w:p w:rsidR="00D674EC" w:rsidRPr="001D534A" w:rsidRDefault="001D534A"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0"/>
              <w:rPr>
                <w:sz w:val="17"/>
                <w:lang w:val="fr-FR"/>
              </w:rPr>
            </w:pPr>
            <w:r w:rsidRPr="001D534A">
              <w:rPr>
                <w:sz w:val="17"/>
                <w:lang w:val="fr-FR"/>
              </w:rPr>
              <w:t>Fonctionnaire avec charges de famille</w:t>
            </w:r>
          </w:p>
        </w:tc>
        <w:tc>
          <w:tcPr>
            <w:tcW w:w="3907" w:type="dxa"/>
            <w:shd w:val="clear" w:color="auto" w:fill="auto"/>
            <w:vAlign w:val="bottom"/>
          </w:tcPr>
          <w:p w:rsidR="00D674EC" w:rsidRPr="005E3ED8"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5E3ED8">
              <w:rPr>
                <w:sz w:val="17"/>
              </w:rPr>
              <w:t>1 650</w:t>
            </w:r>
          </w:p>
        </w:tc>
      </w:tr>
      <w:tr w:rsidR="00D674EC" w:rsidRPr="005E3ED8" w:rsidTr="000C5B54">
        <w:tc>
          <w:tcPr>
            <w:tcW w:w="3413" w:type="dxa"/>
            <w:tcBorders>
              <w:bottom w:val="single" w:sz="12" w:space="0" w:color="auto"/>
            </w:tcBorders>
            <w:shd w:val="clear" w:color="auto" w:fill="auto"/>
            <w:vAlign w:val="bottom"/>
          </w:tcPr>
          <w:p w:rsidR="00D674EC" w:rsidRPr="001D534A" w:rsidRDefault="001D534A"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0" w:right="40"/>
              <w:rPr>
                <w:sz w:val="17"/>
                <w:lang w:val="fr-FR"/>
              </w:rPr>
            </w:pPr>
            <w:r w:rsidRPr="001D534A">
              <w:rPr>
                <w:sz w:val="17"/>
                <w:lang w:val="fr-FR"/>
              </w:rPr>
              <w:t>Fonctionnaire sans charges de famille</w:t>
            </w:r>
          </w:p>
        </w:tc>
        <w:tc>
          <w:tcPr>
            <w:tcW w:w="3907" w:type="dxa"/>
            <w:tcBorders>
              <w:bottom w:val="single" w:sz="12" w:space="0" w:color="auto"/>
            </w:tcBorders>
            <w:shd w:val="clear" w:color="auto" w:fill="auto"/>
            <w:vAlign w:val="bottom"/>
          </w:tcPr>
          <w:p w:rsidR="00D674EC" w:rsidRPr="005E3ED8" w:rsidRDefault="00D674EC" w:rsidP="000C5B5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40" w:lineRule="auto"/>
              <w:ind w:left="144" w:right="40"/>
              <w:jc w:val="right"/>
              <w:rPr>
                <w:sz w:val="17"/>
              </w:rPr>
            </w:pPr>
            <w:r w:rsidRPr="005E3ED8">
              <w:rPr>
                <w:sz w:val="17"/>
              </w:rPr>
              <w:t>625</w:t>
            </w:r>
          </w:p>
        </w:tc>
      </w:tr>
    </w:tbl>
    <w:p w:rsidR="00D674EC" w:rsidRPr="001D534A" w:rsidRDefault="00D674EC" w:rsidP="001D534A">
      <w:pPr>
        <w:pStyle w:val="SingleTxt"/>
        <w:spacing w:after="0" w:line="120" w:lineRule="exact"/>
        <w:rPr>
          <w:sz w:val="10"/>
          <w:szCs w:val="14"/>
          <w:lang w:val="fr-FR"/>
        </w:rPr>
      </w:pPr>
    </w:p>
    <w:p w:rsidR="001D534A" w:rsidRPr="001D534A" w:rsidRDefault="001D534A" w:rsidP="001D534A">
      <w:pPr>
        <w:pStyle w:val="SingleTxt"/>
        <w:spacing w:after="0" w:line="120" w:lineRule="exact"/>
        <w:rPr>
          <w:sz w:val="10"/>
          <w:szCs w:val="14"/>
          <w:lang w:val="fr-FR"/>
        </w:rPr>
      </w:pPr>
    </w:p>
    <w:p w:rsidR="001D534A" w:rsidRPr="001D534A" w:rsidRDefault="001D534A" w:rsidP="001D534A">
      <w:pPr>
        <w:pStyle w:val="SingleTxt"/>
        <w:spacing w:after="0" w:line="240" w:lineRule="auto"/>
        <w:rPr>
          <w:szCs w:val="14"/>
          <w:lang w:val="fr-FR"/>
        </w:rPr>
      </w:pPr>
      <w:r>
        <w:rPr>
          <w:noProof/>
          <w:w w:val="100"/>
          <w:szCs w:val="14"/>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1D534A" w:rsidRPr="001D534A" w:rsidSect="009A2FD6">
      <w:type w:val="continuous"/>
      <w:pgSz w:w="12240" w:h="15840"/>
      <w:pgMar w:top="1742" w:right="1200" w:bottom="1898" w:left="1200" w:header="576" w:footer="103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451" w:rsidRDefault="00D75451" w:rsidP="00F3330B">
      <w:pPr>
        <w:spacing w:line="240" w:lineRule="auto"/>
      </w:pPr>
      <w:r>
        <w:separator/>
      </w:r>
    </w:p>
  </w:endnote>
  <w:endnote w:type="continuationSeparator" w:id="0">
    <w:p w:rsidR="00D75451" w:rsidRDefault="00D75451"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A2FD6" w:rsidTr="009A2FD6">
      <w:tc>
        <w:tcPr>
          <w:tcW w:w="5028" w:type="dxa"/>
          <w:shd w:val="clear" w:color="auto" w:fill="auto"/>
        </w:tcPr>
        <w:p w:rsidR="009A2FD6" w:rsidRPr="009A2FD6" w:rsidRDefault="009A2FD6" w:rsidP="009A2FD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94F19">
            <w:rPr>
              <w:b w:val="0"/>
              <w:w w:val="103"/>
              <w:sz w:val="14"/>
            </w:rPr>
            <w:t>16-11300</w:t>
          </w:r>
          <w:r>
            <w:rPr>
              <w:b w:val="0"/>
              <w:w w:val="103"/>
              <w:sz w:val="14"/>
            </w:rPr>
            <w:fldChar w:fldCharType="end"/>
          </w:r>
        </w:p>
      </w:tc>
      <w:tc>
        <w:tcPr>
          <w:tcW w:w="5028" w:type="dxa"/>
          <w:shd w:val="clear" w:color="auto" w:fill="auto"/>
        </w:tcPr>
        <w:p w:rsidR="009A2FD6" w:rsidRPr="009A2FD6" w:rsidRDefault="009A2FD6" w:rsidP="009A2FD6">
          <w:pPr>
            <w:pStyle w:val="Footer"/>
            <w:rPr>
              <w:w w:val="103"/>
            </w:rPr>
          </w:pPr>
          <w:r>
            <w:rPr>
              <w:w w:val="103"/>
            </w:rPr>
            <w:fldChar w:fldCharType="begin"/>
          </w:r>
          <w:r>
            <w:rPr>
              <w:w w:val="103"/>
            </w:rPr>
            <w:instrText xml:space="preserve"> PAGE  \* Arabic  \* MERGEFORMAT </w:instrText>
          </w:r>
          <w:r>
            <w:rPr>
              <w:w w:val="103"/>
            </w:rPr>
            <w:fldChar w:fldCharType="separate"/>
          </w:r>
          <w:r w:rsidR="002C1C42">
            <w:rPr>
              <w:noProof/>
              <w:w w:val="103"/>
            </w:rPr>
            <w:t>6</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C42">
            <w:rPr>
              <w:noProof/>
              <w:w w:val="103"/>
            </w:rPr>
            <w:t>9</w:t>
          </w:r>
          <w:r>
            <w:rPr>
              <w:w w:val="103"/>
            </w:rPr>
            <w:fldChar w:fldCharType="end"/>
          </w:r>
        </w:p>
      </w:tc>
    </w:tr>
  </w:tbl>
  <w:p w:rsidR="009A2FD6" w:rsidRPr="009A2FD6" w:rsidRDefault="009A2FD6" w:rsidP="009A2F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9A2FD6" w:rsidTr="009A2FD6">
      <w:tc>
        <w:tcPr>
          <w:tcW w:w="5028" w:type="dxa"/>
          <w:shd w:val="clear" w:color="auto" w:fill="auto"/>
        </w:tcPr>
        <w:p w:rsidR="009A2FD6" w:rsidRPr="009A2FD6" w:rsidRDefault="009A2FD6" w:rsidP="009A2FD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2C1C42">
            <w:rPr>
              <w:noProof/>
              <w:w w:val="103"/>
            </w:rPr>
            <w:t>5</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2C1C42">
            <w:rPr>
              <w:noProof/>
              <w:w w:val="103"/>
            </w:rPr>
            <w:t>9</w:t>
          </w:r>
          <w:r>
            <w:rPr>
              <w:w w:val="103"/>
            </w:rPr>
            <w:fldChar w:fldCharType="end"/>
          </w:r>
        </w:p>
      </w:tc>
      <w:tc>
        <w:tcPr>
          <w:tcW w:w="5028" w:type="dxa"/>
          <w:shd w:val="clear" w:color="auto" w:fill="auto"/>
        </w:tcPr>
        <w:p w:rsidR="009A2FD6" w:rsidRPr="009A2FD6" w:rsidRDefault="009A2FD6" w:rsidP="009A2FD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94F19">
            <w:rPr>
              <w:b w:val="0"/>
              <w:w w:val="103"/>
              <w:sz w:val="14"/>
            </w:rPr>
            <w:t>16-11300</w:t>
          </w:r>
          <w:r>
            <w:rPr>
              <w:b w:val="0"/>
              <w:w w:val="103"/>
              <w:sz w:val="14"/>
            </w:rPr>
            <w:fldChar w:fldCharType="end"/>
          </w:r>
        </w:p>
      </w:tc>
    </w:tr>
  </w:tbl>
  <w:p w:rsidR="009A2FD6" w:rsidRPr="009A2FD6" w:rsidRDefault="009A2FD6" w:rsidP="009A2F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FD6" w:rsidRDefault="009A2FD6">
    <w:pPr>
      <w:pStyle w:val="Footer"/>
    </w:pPr>
    <w:r>
      <w:rPr>
        <w:noProof/>
        <w:lang w:val="en-GB" w:eastAsia="en-GB"/>
      </w:rPr>
      <w:drawing>
        <wp:anchor distT="0" distB="0" distL="114300" distR="114300" simplePos="0" relativeHeight="251658240" behindDoc="0" locked="0" layoutInCell="1" allowOverlap="1" wp14:anchorId="77CD2C49" wp14:editId="1528DA84">
          <wp:simplePos x="0" y="0"/>
          <wp:positionH relativeFrom="column">
            <wp:posOffset>5532120</wp:posOffset>
          </wp:positionH>
          <wp:positionV relativeFrom="paragraph">
            <wp:posOffset>-237490</wp:posOffset>
          </wp:positionV>
          <wp:extent cx="694690" cy="694690"/>
          <wp:effectExtent l="0" t="0" r="0" b="0"/>
          <wp:wrapNone/>
          <wp:docPr id="3" name="Picture 3" descr="http://undocs.org/m2/QRCode2.ashx?DS=ST/AI/2016/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AI/2016/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758"/>
      <w:gridCol w:w="5028"/>
    </w:tblGrid>
    <w:tr w:rsidR="009A2FD6" w:rsidTr="009A2FD6">
      <w:tc>
        <w:tcPr>
          <w:tcW w:w="3758" w:type="dxa"/>
        </w:tcPr>
        <w:p w:rsidR="009A2FD6" w:rsidRDefault="009A2FD6" w:rsidP="009A2FD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94F19">
            <w:rPr>
              <w:b w:val="0"/>
              <w:sz w:val="20"/>
            </w:rPr>
            <w:t>16-11300 (F)</w:t>
          </w:r>
          <w:r>
            <w:rPr>
              <w:b w:val="0"/>
              <w:sz w:val="20"/>
            </w:rPr>
            <w:fldChar w:fldCharType="end"/>
          </w:r>
          <w:r>
            <w:rPr>
              <w:b w:val="0"/>
              <w:sz w:val="20"/>
            </w:rPr>
            <w:t xml:space="preserve">    </w:t>
          </w:r>
          <w:r w:rsidR="00367D2C">
            <w:rPr>
              <w:b w:val="0"/>
              <w:sz w:val="20"/>
            </w:rPr>
            <w:t>18</w:t>
          </w:r>
          <w:r>
            <w:rPr>
              <w:b w:val="0"/>
              <w:sz w:val="20"/>
            </w:rPr>
            <w:t>0716    190716</w:t>
          </w:r>
        </w:p>
        <w:p w:rsidR="009A2FD6" w:rsidRPr="009A2FD6" w:rsidRDefault="009A2FD6" w:rsidP="009A2FD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94F19">
            <w:rPr>
              <w:rFonts w:ascii="Barcode 3 of 9 by request" w:hAnsi="Barcode 3 of 9 by request"/>
              <w:b w:val="0"/>
              <w:spacing w:val="0"/>
              <w:w w:val="100"/>
              <w:sz w:val="24"/>
            </w:rPr>
            <w:t>*1611300*</w:t>
          </w:r>
          <w:r>
            <w:rPr>
              <w:rFonts w:ascii="Barcode 3 of 9 by request" w:hAnsi="Barcode 3 of 9 by request"/>
              <w:b w:val="0"/>
              <w:spacing w:val="0"/>
              <w:w w:val="100"/>
              <w:sz w:val="24"/>
            </w:rPr>
            <w:fldChar w:fldCharType="end"/>
          </w:r>
        </w:p>
      </w:tc>
      <w:tc>
        <w:tcPr>
          <w:tcW w:w="5028" w:type="dxa"/>
        </w:tcPr>
        <w:p w:rsidR="009A2FD6" w:rsidRDefault="009A2FD6" w:rsidP="009A2FD6">
          <w:pPr>
            <w:pStyle w:val="Footer"/>
            <w:spacing w:line="240" w:lineRule="atLeast"/>
            <w:jc w:val="right"/>
            <w:rPr>
              <w:b w:val="0"/>
              <w:sz w:val="20"/>
            </w:rPr>
          </w:pPr>
          <w:r>
            <w:rPr>
              <w:b w:val="0"/>
              <w:noProof/>
              <w:sz w:val="20"/>
              <w:lang w:val="en-GB" w:eastAsia="en-GB"/>
            </w:rPr>
            <w:drawing>
              <wp:inline distT="0" distB="0" distL="0" distR="0" wp14:anchorId="5B53C64E" wp14:editId="37EB7BB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9A2FD6" w:rsidRPr="009A2FD6" w:rsidRDefault="009A2FD6" w:rsidP="009A2FD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451" w:rsidRPr="006C2935" w:rsidRDefault="006C2935" w:rsidP="006C2935">
      <w:pPr>
        <w:pStyle w:val="Footer"/>
        <w:spacing w:after="80"/>
        <w:ind w:left="792"/>
        <w:rPr>
          <w:sz w:val="16"/>
        </w:rPr>
      </w:pPr>
      <w:r w:rsidRPr="006C2935">
        <w:rPr>
          <w:sz w:val="16"/>
        </w:rPr>
        <w:t>__________________</w:t>
      </w:r>
    </w:p>
  </w:footnote>
  <w:footnote w:type="continuationSeparator" w:id="0">
    <w:p w:rsidR="00D75451" w:rsidRPr="006C2935" w:rsidRDefault="006C2935" w:rsidP="006C2935">
      <w:pPr>
        <w:pStyle w:val="Footer"/>
        <w:spacing w:after="80"/>
        <w:ind w:left="792"/>
        <w:rPr>
          <w:sz w:val="16"/>
        </w:rPr>
      </w:pPr>
      <w:r w:rsidRPr="006C2935">
        <w:rPr>
          <w:sz w:val="16"/>
        </w:rPr>
        <w:t>__________________</w:t>
      </w:r>
    </w:p>
  </w:footnote>
  <w:footnote w:id="1">
    <w:p w:rsidR="009952D3" w:rsidRPr="00CC0E41" w:rsidRDefault="006C2935" w:rsidP="006C2935">
      <w:pPr>
        <w:pStyle w:val="FootnoteText"/>
        <w:tabs>
          <w:tab w:val="right" w:pos="1195"/>
          <w:tab w:val="left" w:pos="1267"/>
          <w:tab w:val="left" w:pos="1742"/>
          <w:tab w:val="left" w:pos="2218"/>
          <w:tab w:val="left" w:pos="2693"/>
        </w:tabs>
        <w:ind w:left="1267" w:right="1260" w:hanging="432"/>
        <w:rPr>
          <w:lang w:val="fr-FR"/>
        </w:rPr>
      </w:pPr>
      <w:r>
        <w:rPr>
          <w:lang w:val="fr-FR"/>
        </w:rPr>
        <w:tab/>
      </w:r>
      <w:r w:rsidR="009952D3">
        <w:rPr>
          <w:rStyle w:val="FootnoteReference"/>
        </w:rPr>
        <w:footnoteRef/>
      </w:r>
      <w:r w:rsidR="009952D3" w:rsidRPr="00CC0E41">
        <w:rPr>
          <w:lang w:val="fr-FR"/>
        </w:rPr>
        <w:t xml:space="preserve"> </w:t>
      </w:r>
      <w:r>
        <w:rPr>
          <w:lang w:val="fr-FR"/>
        </w:rPr>
        <w:tab/>
      </w:r>
      <w:r w:rsidR="009952D3">
        <w:rPr>
          <w:lang w:val="fr-FR"/>
        </w:rPr>
        <w:t xml:space="preserve">Aux termes de </w:t>
      </w:r>
      <w:r w:rsidR="009952D3" w:rsidRPr="00CC0E41">
        <w:rPr>
          <w:lang w:val="fr-FR"/>
        </w:rPr>
        <w:t>la disposition 13.1</w:t>
      </w:r>
      <w:r w:rsidR="009952D3">
        <w:rPr>
          <w:lang w:val="fr-FR"/>
        </w:rPr>
        <w:t xml:space="preserve"> a)</w:t>
      </w:r>
      <w:r w:rsidR="009952D3" w:rsidRPr="00CC0E41">
        <w:rPr>
          <w:lang w:val="fr-FR"/>
        </w:rPr>
        <w:t xml:space="preserve"> du Règlement du personnel, tous les </w:t>
      </w:r>
      <w:r w:rsidR="009952D3">
        <w:rPr>
          <w:lang w:val="fr-FR"/>
        </w:rPr>
        <w:t>engagements à titre permanent s</w:t>
      </w:r>
      <w:r w:rsidR="009952D3" w:rsidRPr="00CC0E41">
        <w:rPr>
          <w:lang w:val="fr-FR"/>
        </w:rPr>
        <w:t xml:space="preserve">ont régis par les dispositions du Statut et du Règlement </w:t>
      </w:r>
      <w:r w:rsidR="009952D3">
        <w:rPr>
          <w:lang w:val="fr-FR"/>
        </w:rPr>
        <w:t xml:space="preserve">du personnel </w:t>
      </w:r>
      <w:r w:rsidR="009952D3" w:rsidRPr="00CC0E41">
        <w:rPr>
          <w:lang w:val="fr-FR"/>
        </w:rPr>
        <w:t>applicables aux engagemen</w:t>
      </w:r>
      <w:r w:rsidR="009952D3">
        <w:rPr>
          <w:lang w:val="fr-FR"/>
        </w:rPr>
        <w:t xml:space="preserve">ts continus, sauf indication contraire dans ladite </w:t>
      </w:r>
      <w:r w:rsidR="009952D3" w:rsidRPr="00CC0E41">
        <w:rPr>
          <w:lang w:val="fr-FR"/>
        </w:rPr>
        <w:t>disposition.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A2FD6" w:rsidTr="009A2FD6">
      <w:trPr>
        <w:trHeight w:hRule="exact" w:val="864"/>
      </w:trPr>
      <w:tc>
        <w:tcPr>
          <w:tcW w:w="4838" w:type="dxa"/>
          <w:shd w:val="clear" w:color="auto" w:fill="auto"/>
          <w:vAlign w:val="bottom"/>
        </w:tcPr>
        <w:p w:rsidR="009A2FD6" w:rsidRPr="009A2FD6" w:rsidRDefault="009A2FD6" w:rsidP="009A2FD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94F19">
            <w:rPr>
              <w:b/>
              <w:color w:val="000000"/>
            </w:rPr>
            <w:t>ST/AI/2016/6</w:t>
          </w:r>
          <w:r>
            <w:rPr>
              <w:b/>
              <w:color w:val="000000"/>
            </w:rPr>
            <w:fldChar w:fldCharType="end"/>
          </w:r>
        </w:p>
      </w:tc>
      <w:tc>
        <w:tcPr>
          <w:tcW w:w="5028" w:type="dxa"/>
          <w:shd w:val="clear" w:color="auto" w:fill="auto"/>
          <w:vAlign w:val="bottom"/>
        </w:tcPr>
        <w:p w:rsidR="009A2FD6" w:rsidRDefault="009A2FD6" w:rsidP="009A2FD6">
          <w:pPr>
            <w:pStyle w:val="Header"/>
          </w:pPr>
        </w:p>
      </w:tc>
    </w:tr>
  </w:tbl>
  <w:p w:rsidR="009A2FD6" w:rsidRPr="009A2FD6" w:rsidRDefault="009A2FD6" w:rsidP="009A2FD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9A2FD6" w:rsidTr="009A2FD6">
      <w:trPr>
        <w:trHeight w:hRule="exact" w:val="864"/>
      </w:trPr>
      <w:tc>
        <w:tcPr>
          <w:tcW w:w="4838" w:type="dxa"/>
          <w:shd w:val="clear" w:color="auto" w:fill="auto"/>
          <w:vAlign w:val="bottom"/>
        </w:tcPr>
        <w:p w:rsidR="009A2FD6" w:rsidRDefault="009A2FD6" w:rsidP="009A2FD6">
          <w:pPr>
            <w:pStyle w:val="Header"/>
          </w:pPr>
        </w:p>
      </w:tc>
      <w:tc>
        <w:tcPr>
          <w:tcW w:w="5028" w:type="dxa"/>
          <w:shd w:val="clear" w:color="auto" w:fill="auto"/>
          <w:vAlign w:val="bottom"/>
        </w:tcPr>
        <w:p w:rsidR="009A2FD6" w:rsidRPr="009A2FD6" w:rsidRDefault="009A2FD6" w:rsidP="009A2FD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94F19">
            <w:rPr>
              <w:b/>
              <w:color w:val="000000"/>
            </w:rPr>
            <w:t>ST/AI/2016/6</w:t>
          </w:r>
          <w:r>
            <w:rPr>
              <w:b/>
              <w:color w:val="000000"/>
            </w:rPr>
            <w:fldChar w:fldCharType="end"/>
          </w:r>
        </w:p>
      </w:tc>
    </w:tr>
  </w:tbl>
  <w:p w:rsidR="009A2FD6" w:rsidRPr="009A2FD6" w:rsidRDefault="009A2FD6" w:rsidP="009A2FD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9A2FD6" w:rsidTr="009A2FD6">
      <w:trPr>
        <w:gridAfter w:val="1"/>
        <w:wAfter w:w="12" w:type="dxa"/>
        <w:trHeight w:hRule="exact" w:val="864"/>
      </w:trPr>
      <w:tc>
        <w:tcPr>
          <w:tcW w:w="1267" w:type="dxa"/>
          <w:tcBorders>
            <w:bottom w:val="single" w:sz="4" w:space="0" w:color="auto"/>
          </w:tcBorders>
          <w:shd w:val="clear" w:color="auto" w:fill="auto"/>
          <w:vAlign w:val="bottom"/>
        </w:tcPr>
        <w:p w:rsidR="009A2FD6" w:rsidRDefault="009A2FD6" w:rsidP="009A2FD6">
          <w:pPr>
            <w:pStyle w:val="Header"/>
            <w:spacing w:after="120"/>
          </w:pPr>
        </w:p>
      </w:tc>
      <w:tc>
        <w:tcPr>
          <w:tcW w:w="2059" w:type="dxa"/>
          <w:tcBorders>
            <w:bottom w:val="single" w:sz="4" w:space="0" w:color="auto"/>
          </w:tcBorders>
          <w:shd w:val="clear" w:color="auto" w:fill="auto"/>
          <w:vAlign w:val="bottom"/>
        </w:tcPr>
        <w:p w:rsidR="009A2FD6" w:rsidRPr="009A2FD6" w:rsidRDefault="009A2FD6" w:rsidP="009A2FD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9A2FD6" w:rsidRDefault="009A2FD6" w:rsidP="009A2FD6">
          <w:pPr>
            <w:pStyle w:val="Header"/>
            <w:spacing w:after="120"/>
          </w:pPr>
        </w:p>
      </w:tc>
      <w:tc>
        <w:tcPr>
          <w:tcW w:w="6523" w:type="dxa"/>
          <w:gridSpan w:val="3"/>
          <w:tcBorders>
            <w:bottom w:val="single" w:sz="4" w:space="0" w:color="auto"/>
          </w:tcBorders>
          <w:shd w:val="clear" w:color="auto" w:fill="auto"/>
          <w:vAlign w:val="bottom"/>
        </w:tcPr>
        <w:p w:rsidR="009A2FD6" w:rsidRPr="009A2FD6" w:rsidRDefault="009A2FD6" w:rsidP="009A2FD6">
          <w:pPr>
            <w:spacing w:after="80" w:line="240" w:lineRule="auto"/>
            <w:jc w:val="right"/>
            <w:rPr>
              <w:position w:val="-4"/>
            </w:rPr>
          </w:pPr>
          <w:r>
            <w:rPr>
              <w:position w:val="-4"/>
              <w:sz w:val="40"/>
            </w:rPr>
            <w:t>ST</w:t>
          </w:r>
          <w:r>
            <w:rPr>
              <w:position w:val="-4"/>
            </w:rPr>
            <w:t>/AI/2016/6</w:t>
          </w:r>
        </w:p>
      </w:tc>
    </w:tr>
    <w:tr w:rsidR="009A2FD6" w:rsidRPr="009A2FD6" w:rsidTr="009A2FD6">
      <w:trPr>
        <w:trHeight w:hRule="exact" w:val="2880"/>
      </w:trPr>
      <w:tc>
        <w:tcPr>
          <w:tcW w:w="1267" w:type="dxa"/>
          <w:tcBorders>
            <w:top w:val="single" w:sz="4" w:space="0" w:color="auto"/>
            <w:bottom w:val="single" w:sz="12" w:space="0" w:color="auto"/>
          </w:tcBorders>
          <w:shd w:val="clear" w:color="auto" w:fill="auto"/>
        </w:tcPr>
        <w:p w:rsidR="009A2FD6" w:rsidRPr="009A2FD6" w:rsidRDefault="009A2FD6" w:rsidP="009A2FD6">
          <w:pPr>
            <w:pStyle w:val="Header"/>
            <w:spacing w:before="120" w:line="240" w:lineRule="auto"/>
            <w:ind w:left="-72"/>
            <w:jc w:val="center"/>
          </w:pPr>
          <w:r>
            <w:t xml:space="preserve">  </w:t>
          </w:r>
          <w:r>
            <w:rPr>
              <w:noProof/>
              <w:lang w:val="en-GB" w:eastAsia="en-GB"/>
            </w:rPr>
            <w:drawing>
              <wp:inline distT="0" distB="0" distL="0" distR="0" wp14:anchorId="76047074" wp14:editId="235B11F8">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9A2FD6" w:rsidRPr="009A2FD6" w:rsidRDefault="009A2FD6" w:rsidP="009A2FD6">
          <w:pPr>
            <w:pStyle w:val="XLarge"/>
            <w:spacing w:before="109"/>
          </w:pPr>
          <w:r>
            <w:t>Secrétariat</w:t>
          </w:r>
        </w:p>
      </w:tc>
      <w:tc>
        <w:tcPr>
          <w:tcW w:w="245" w:type="dxa"/>
          <w:tcBorders>
            <w:top w:val="single" w:sz="4" w:space="0" w:color="auto"/>
            <w:bottom w:val="single" w:sz="12" w:space="0" w:color="auto"/>
          </w:tcBorders>
          <w:shd w:val="clear" w:color="auto" w:fill="auto"/>
        </w:tcPr>
        <w:p w:rsidR="009A2FD6" w:rsidRPr="009A2FD6" w:rsidRDefault="009A2FD6" w:rsidP="009A2FD6">
          <w:pPr>
            <w:pStyle w:val="Header"/>
            <w:spacing w:before="109"/>
          </w:pPr>
        </w:p>
      </w:tc>
      <w:tc>
        <w:tcPr>
          <w:tcW w:w="3180" w:type="dxa"/>
          <w:gridSpan w:val="2"/>
          <w:tcBorders>
            <w:top w:val="single" w:sz="4" w:space="0" w:color="auto"/>
            <w:bottom w:val="single" w:sz="12" w:space="0" w:color="auto"/>
          </w:tcBorders>
          <w:shd w:val="clear" w:color="auto" w:fill="auto"/>
        </w:tcPr>
        <w:p w:rsidR="009A2FD6" w:rsidRDefault="009A2FD6" w:rsidP="009A2FD6">
          <w:pPr>
            <w:pStyle w:val="Distribution"/>
            <w:rPr>
              <w:color w:val="000000"/>
            </w:rPr>
          </w:pPr>
        </w:p>
        <w:p w:rsidR="009A2FD6" w:rsidRDefault="009A2FD6" w:rsidP="009A2FD6">
          <w:pPr>
            <w:pStyle w:val="Publication"/>
            <w:rPr>
              <w:color w:val="000000"/>
            </w:rPr>
          </w:pPr>
          <w:r>
            <w:rPr>
              <w:color w:val="000000"/>
            </w:rPr>
            <w:t>1</w:t>
          </w:r>
          <w:r w:rsidR="009952D3" w:rsidRPr="009952D3">
            <w:rPr>
              <w:color w:val="000000"/>
              <w:vertAlign w:val="superscript"/>
            </w:rPr>
            <w:t>er</w:t>
          </w:r>
          <w:r>
            <w:rPr>
              <w:color w:val="000000"/>
            </w:rPr>
            <w:t xml:space="preserve"> </w:t>
          </w:r>
          <w:proofErr w:type="spellStart"/>
          <w:r>
            <w:rPr>
              <w:color w:val="000000"/>
            </w:rPr>
            <w:t>juillet</w:t>
          </w:r>
          <w:proofErr w:type="spellEnd"/>
          <w:r>
            <w:rPr>
              <w:color w:val="000000"/>
            </w:rPr>
            <w:t xml:space="preserve"> 2016</w:t>
          </w:r>
        </w:p>
        <w:p w:rsidR="009A2FD6" w:rsidRPr="009A2FD6" w:rsidRDefault="009A2FD6" w:rsidP="009952D3">
          <w:pPr>
            <w:rPr>
              <w:color w:val="000000"/>
            </w:rPr>
          </w:pPr>
        </w:p>
      </w:tc>
    </w:tr>
  </w:tbl>
  <w:p w:rsidR="009A2FD6" w:rsidRPr="009A2FD6" w:rsidRDefault="009A2FD6" w:rsidP="009A2FD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7266377"/>
    <w:multiLevelType w:val="singleLevel"/>
    <w:tmpl w:val="8A88F802"/>
    <w:lvl w:ilvl="0">
      <w:start w:val="1"/>
      <w:numFmt w:val="decimal"/>
      <w:lvlRestart w:val="0"/>
      <w:lvlText w:val="5.%1"/>
      <w:lvlJc w:val="left"/>
      <w:pPr>
        <w:tabs>
          <w:tab w:val="num" w:pos="1742"/>
        </w:tabs>
        <w:ind w:left="1267"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4942927"/>
    <w:multiLevelType w:val="singleLevel"/>
    <w:tmpl w:val="85A4494A"/>
    <w:lvl w:ilvl="0">
      <w:start w:val="2"/>
      <w:numFmt w:val="decimal"/>
      <w:lvlRestart w:val="0"/>
      <w:lvlText w:val="%1.5"/>
      <w:lvlJc w:val="left"/>
      <w:pPr>
        <w:tabs>
          <w:tab w:val="num" w:pos="1742"/>
        </w:tabs>
        <w:ind w:left="1267" w:firstLine="0"/>
      </w:pPr>
      <w:rPr>
        <w:w w:val="100"/>
      </w:rPr>
    </w:lvl>
  </w:abstractNum>
  <w:abstractNum w:abstractNumId="5">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934115"/>
    <w:multiLevelType w:val="singleLevel"/>
    <w:tmpl w:val="22846CAA"/>
    <w:lvl w:ilvl="0">
      <w:start w:val="1"/>
      <w:numFmt w:val="decimal"/>
      <w:lvlRestart w:val="0"/>
      <w:lvlText w:val="1.%1"/>
      <w:lvlJc w:val="left"/>
      <w:pPr>
        <w:tabs>
          <w:tab w:val="num" w:pos="1742"/>
        </w:tabs>
        <w:ind w:left="1267" w:firstLine="0"/>
      </w:pPr>
      <w:rPr>
        <w:w w:val="100"/>
      </w:rPr>
    </w:lvl>
  </w:abstractNum>
  <w:abstractNum w:abstractNumId="7">
    <w:nsid w:val="246022F5"/>
    <w:multiLevelType w:val="singleLevel"/>
    <w:tmpl w:val="E3F267DE"/>
    <w:lvl w:ilvl="0">
      <w:start w:val="1"/>
      <w:numFmt w:val="decimal"/>
      <w:lvlRestart w:val="0"/>
      <w:lvlText w:val="1.%1."/>
      <w:lvlJc w:val="left"/>
      <w:pPr>
        <w:tabs>
          <w:tab w:val="num" w:pos="1742"/>
        </w:tabs>
        <w:ind w:left="1267" w:firstLine="0"/>
      </w:pPr>
      <w:rPr>
        <w:w w:val="100"/>
      </w:rPr>
    </w:lvl>
  </w:abstractNum>
  <w:abstractNum w:abstractNumId="8">
    <w:nsid w:val="2C666FFD"/>
    <w:multiLevelType w:val="singleLevel"/>
    <w:tmpl w:val="0108E5B8"/>
    <w:lvl w:ilvl="0">
      <w:start w:val="1"/>
      <w:numFmt w:val="decimal"/>
      <w:lvlRestart w:val="0"/>
      <w:lvlText w:val="2.%1."/>
      <w:lvlJc w:val="left"/>
      <w:pPr>
        <w:tabs>
          <w:tab w:val="num" w:pos="1742"/>
        </w:tabs>
        <w:ind w:left="1267" w:firstLine="0"/>
      </w:pPr>
      <w:rPr>
        <w:w w:val="100"/>
      </w:rPr>
    </w:lvl>
  </w:abstractNum>
  <w:abstractNum w:abstractNumId="9">
    <w:nsid w:val="38B53EC7"/>
    <w:multiLevelType w:val="singleLevel"/>
    <w:tmpl w:val="BB0EBB5C"/>
    <w:lvl w:ilvl="0">
      <w:start w:val="1"/>
      <w:numFmt w:val="decimal"/>
      <w:lvlRestart w:val="0"/>
      <w:lvlText w:val="9.%1"/>
      <w:lvlJc w:val="left"/>
      <w:pPr>
        <w:tabs>
          <w:tab w:val="num" w:pos="1742"/>
        </w:tabs>
        <w:ind w:left="1267" w:firstLine="0"/>
      </w:pPr>
      <w:rPr>
        <w:w w:val="100"/>
      </w:rPr>
    </w:lvl>
  </w:abstractNum>
  <w:abstractNum w:abstractNumId="10">
    <w:nsid w:val="3B7531CC"/>
    <w:multiLevelType w:val="singleLevel"/>
    <w:tmpl w:val="93F6E218"/>
    <w:lvl w:ilvl="0">
      <w:start w:val="1"/>
      <w:numFmt w:val="decimal"/>
      <w:lvlRestart w:val="0"/>
      <w:lvlText w:val="4.%1"/>
      <w:lvlJc w:val="left"/>
      <w:pPr>
        <w:tabs>
          <w:tab w:val="num" w:pos="1742"/>
        </w:tabs>
        <w:ind w:left="1267" w:firstLine="0"/>
      </w:pPr>
      <w:rPr>
        <w:w w:val="100"/>
      </w:rPr>
    </w:lvl>
  </w:abstractNum>
  <w:abstractNum w:abstractNumId="11">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B910ED"/>
    <w:multiLevelType w:val="singleLevel"/>
    <w:tmpl w:val="C4B25EDC"/>
    <w:lvl w:ilvl="0">
      <w:start w:val="1"/>
      <w:numFmt w:val="decimal"/>
      <w:lvlRestart w:val="0"/>
      <w:lvlText w:val="2.%1"/>
      <w:lvlJc w:val="left"/>
      <w:pPr>
        <w:tabs>
          <w:tab w:val="num" w:pos="1742"/>
        </w:tabs>
        <w:ind w:left="1267" w:firstLine="0"/>
      </w:pPr>
      <w:rPr>
        <w:w w:val="100"/>
      </w:rPr>
    </w:lvl>
  </w:abstractNum>
  <w:abstractNum w:abstractNumId="13">
    <w:nsid w:val="51D77440"/>
    <w:multiLevelType w:val="singleLevel"/>
    <w:tmpl w:val="699285AC"/>
    <w:lvl w:ilvl="0">
      <w:start w:val="1"/>
      <w:numFmt w:val="decimal"/>
      <w:lvlRestart w:val="0"/>
      <w:lvlText w:val="7.%1"/>
      <w:lvlJc w:val="left"/>
      <w:pPr>
        <w:tabs>
          <w:tab w:val="num" w:pos="1742"/>
        </w:tabs>
        <w:ind w:left="1267" w:firstLine="0"/>
      </w:pPr>
      <w:rPr>
        <w:w w:val="100"/>
      </w:rPr>
    </w:lvl>
  </w:abstractNum>
  <w:abstractNum w:abstractNumId="14">
    <w:nsid w:val="54016799"/>
    <w:multiLevelType w:val="multilevel"/>
    <w:tmpl w:val="25AC829A"/>
    <w:lvl w:ilvl="0">
      <w:start w:val="1"/>
      <w:numFmt w:val="decimal"/>
      <w:lvlText w:val="%1"/>
      <w:lvlJc w:val="left"/>
      <w:pPr>
        <w:ind w:left="480" w:hanging="480"/>
      </w:pPr>
      <w:rPr>
        <w:rFonts w:hint="default"/>
      </w:rPr>
    </w:lvl>
    <w:lvl w:ilvl="1">
      <w:start w:val="1"/>
      <w:numFmt w:val="decimal"/>
      <w:lvlText w:val="%1.%2"/>
      <w:lvlJc w:val="left"/>
      <w:pPr>
        <w:ind w:left="1747" w:hanging="48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521" w:hanging="72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415" w:hanging="1080"/>
      </w:pPr>
      <w:rPr>
        <w:rFonts w:hint="default"/>
      </w:rPr>
    </w:lvl>
    <w:lvl w:ilvl="6">
      <w:start w:val="1"/>
      <w:numFmt w:val="decimal"/>
      <w:lvlText w:val="%1.%2.%3.%4.%5.%6.%7"/>
      <w:lvlJc w:val="left"/>
      <w:pPr>
        <w:ind w:left="9042" w:hanging="1440"/>
      </w:pPr>
      <w:rPr>
        <w:rFonts w:hint="default"/>
      </w:rPr>
    </w:lvl>
    <w:lvl w:ilvl="7">
      <w:start w:val="1"/>
      <w:numFmt w:val="decimal"/>
      <w:lvlText w:val="%1.%2.%3.%4.%5.%6.%7.%8"/>
      <w:lvlJc w:val="left"/>
      <w:pPr>
        <w:ind w:left="10309" w:hanging="1440"/>
      </w:pPr>
      <w:rPr>
        <w:rFonts w:hint="default"/>
      </w:rPr>
    </w:lvl>
    <w:lvl w:ilvl="8">
      <w:start w:val="1"/>
      <w:numFmt w:val="decimal"/>
      <w:lvlText w:val="%1.%2.%3.%4.%5.%6.%7.%8.%9"/>
      <w:lvlJc w:val="left"/>
      <w:pPr>
        <w:ind w:left="11576" w:hanging="1440"/>
      </w:pPr>
      <w:rPr>
        <w:rFonts w:hint="default"/>
      </w:rPr>
    </w:lvl>
  </w:abstractNum>
  <w:abstractNum w:abstractNumId="15">
    <w:nsid w:val="57EE10BD"/>
    <w:multiLevelType w:val="singleLevel"/>
    <w:tmpl w:val="D6D065C4"/>
    <w:lvl w:ilvl="0">
      <w:start w:val="2"/>
      <w:numFmt w:val="decimal"/>
      <w:lvlRestart w:val="0"/>
      <w:lvlText w:val="%1.1"/>
      <w:lvlJc w:val="left"/>
      <w:pPr>
        <w:tabs>
          <w:tab w:val="num" w:pos="1742"/>
        </w:tabs>
        <w:ind w:left="1267" w:firstLine="0"/>
      </w:pPr>
      <w:rPr>
        <w:w w:val="100"/>
      </w:rPr>
    </w:lvl>
  </w:abstractNum>
  <w:abstractNum w:abstractNumId="16">
    <w:nsid w:val="5B7D142D"/>
    <w:multiLevelType w:val="singleLevel"/>
    <w:tmpl w:val="9D0A2DE2"/>
    <w:lvl w:ilvl="0">
      <w:start w:val="1"/>
      <w:numFmt w:val="decimal"/>
      <w:lvlRestart w:val="0"/>
      <w:lvlText w:val="8.%1"/>
      <w:lvlJc w:val="left"/>
      <w:pPr>
        <w:tabs>
          <w:tab w:val="num" w:pos="1742"/>
        </w:tabs>
        <w:ind w:left="1267" w:firstLine="0"/>
      </w:pPr>
      <w:rPr>
        <w:w w:val="100"/>
      </w:rPr>
    </w:lvl>
  </w:abstractNum>
  <w:abstractNum w:abstractNumId="17">
    <w:nsid w:val="61D7334E"/>
    <w:multiLevelType w:val="singleLevel"/>
    <w:tmpl w:val="86307D0C"/>
    <w:lvl w:ilvl="0">
      <w:start w:val="1"/>
      <w:numFmt w:val="decimal"/>
      <w:lvlRestart w:val="0"/>
      <w:lvlText w:val="2.%1."/>
      <w:lvlJc w:val="left"/>
      <w:pPr>
        <w:tabs>
          <w:tab w:val="num" w:pos="1742"/>
        </w:tabs>
        <w:ind w:left="1267" w:firstLine="0"/>
      </w:pPr>
      <w:rPr>
        <w:w w:val="100"/>
      </w:rPr>
    </w:lvl>
  </w:abstractNum>
  <w:abstractNum w:abstractNumId="18">
    <w:nsid w:val="6CF5379D"/>
    <w:multiLevelType w:val="singleLevel"/>
    <w:tmpl w:val="664CE626"/>
    <w:lvl w:ilvl="0">
      <w:start w:val="2"/>
      <w:numFmt w:val="decimal"/>
      <w:lvlRestart w:val="0"/>
      <w:lvlText w:val="%1.1"/>
      <w:lvlJc w:val="left"/>
      <w:pPr>
        <w:tabs>
          <w:tab w:val="num" w:pos="1742"/>
        </w:tabs>
        <w:ind w:left="1267" w:firstLine="0"/>
      </w:pPr>
      <w:rPr>
        <w:w w:val="100"/>
      </w:rPr>
    </w:lvl>
  </w:abstractNum>
  <w:abstractNum w:abstractNumId="19">
    <w:nsid w:val="71D426F4"/>
    <w:multiLevelType w:val="singleLevel"/>
    <w:tmpl w:val="26560BC8"/>
    <w:lvl w:ilvl="0">
      <w:start w:val="1"/>
      <w:numFmt w:val="decimal"/>
      <w:lvlRestart w:val="0"/>
      <w:lvlText w:val="3.%1"/>
      <w:lvlJc w:val="left"/>
      <w:pPr>
        <w:tabs>
          <w:tab w:val="num" w:pos="1742"/>
        </w:tabs>
        <w:ind w:left="1267" w:firstLine="0"/>
      </w:pPr>
      <w:rPr>
        <w:w w:val="100"/>
      </w:rPr>
    </w:lvl>
  </w:abstractNum>
  <w:num w:numId="1">
    <w:abstractNumId w:val="3"/>
  </w:num>
  <w:num w:numId="2">
    <w:abstractNumId w:val="2"/>
  </w:num>
  <w:num w:numId="3">
    <w:abstractNumId w:val="5"/>
  </w:num>
  <w:num w:numId="4">
    <w:abstractNumId w:val="11"/>
  </w:num>
  <w:num w:numId="5">
    <w:abstractNumId w:val="0"/>
  </w:num>
  <w:num w:numId="6">
    <w:abstractNumId w:val="7"/>
  </w:num>
  <w:num w:numId="7">
    <w:abstractNumId w:val="14"/>
  </w:num>
  <w:num w:numId="8">
    <w:abstractNumId w:val="8"/>
  </w:num>
  <w:num w:numId="9">
    <w:abstractNumId w:val="4"/>
  </w:num>
  <w:num w:numId="10">
    <w:abstractNumId w:val="15"/>
  </w:num>
  <w:num w:numId="11">
    <w:abstractNumId w:val="18"/>
  </w:num>
  <w:num w:numId="12">
    <w:abstractNumId w:val="17"/>
  </w:num>
  <w:num w:numId="13">
    <w:abstractNumId w:val="6"/>
  </w:num>
  <w:num w:numId="14">
    <w:abstractNumId w:val="12"/>
  </w:num>
  <w:num w:numId="15">
    <w:abstractNumId w:val="19"/>
  </w:num>
  <w:num w:numId="16">
    <w:abstractNumId w:val="10"/>
  </w:num>
  <w:num w:numId="17">
    <w:abstractNumId w:val="1"/>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SortMethod w:val="0003"/>
  <w:defaultTabStop w:val="475"/>
  <w:doNotHyphenateCaps/>
  <w:evenAndOddHeaders/>
  <w:characterSpacingControl w:val="doNotCompress"/>
  <w:hdrShapeDefaults>
    <o:shapedefaults v:ext="edit" spidmax="6145"/>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611300*"/>
    <w:docVar w:name="CreationDt" w:val="19/07/2016 09:50:36"/>
    <w:docVar w:name="DocCategory" w:val="Doc"/>
    <w:docVar w:name="DocType" w:val="Final"/>
    <w:docVar w:name="DutyStation" w:val="New York"/>
    <w:docVar w:name="FooterJN" w:val="16-11300"/>
    <w:docVar w:name="jobn" w:val="16-11300 (F)"/>
    <w:docVar w:name="jobnDT" w:val="16-11300 (F)   190716"/>
    <w:docVar w:name="jobnDTDT" w:val="16-11300 (F)   190716   190716"/>
    <w:docVar w:name="JobNo" w:val="1611300F"/>
    <w:docVar w:name="JobNo2" w:val="1620327F"/>
    <w:docVar w:name="LocalDrive" w:val="0"/>
    <w:docVar w:name="OandT" w:val="bza"/>
    <w:docVar w:name="PaperSize" w:val="Letter"/>
    <w:docVar w:name="sss1" w:val="ST/AI/2016/6"/>
    <w:docVar w:name="sss2" w:val="-"/>
    <w:docVar w:name="Symbol1" w:val="ST/AI/2016/6"/>
    <w:docVar w:name="Symbol2" w:val="-"/>
  </w:docVars>
  <w:rsids>
    <w:rsidRoot w:val="00D75451"/>
    <w:rsid w:val="000015B8"/>
    <w:rsid w:val="000046A5"/>
    <w:rsid w:val="000055FB"/>
    <w:rsid w:val="00010C97"/>
    <w:rsid w:val="000115A9"/>
    <w:rsid w:val="00016483"/>
    <w:rsid w:val="00022173"/>
    <w:rsid w:val="0002226F"/>
    <w:rsid w:val="00022B4A"/>
    <w:rsid w:val="00023E37"/>
    <w:rsid w:val="000249FF"/>
    <w:rsid w:val="00025DE5"/>
    <w:rsid w:val="000274C2"/>
    <w:rsid w:val="00033DC9"/>
    <w:rsid w:val="000378DE"/>
    <w:rsid w:val="00040497"/>
    <w:rsid w:val="00041666"/>
    <w:rsid w:val="00041ABD"/>
    <w:rsid w:val="00046145"/>
    <w:rsid w:val="00050D9C"/>
    <w:rsid w:val="00054482"/>
    <w:rsid w:val="000554E6"/>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17C27"/>
    <w:rsid w:val="00123812"/>
    <w:rsid w:val="001256F6"/>
    <w:rsid w:val="001262BA"/>
    <w:rsid w:val="00126FB2"/>
    <w:rsid w:val="00127266"/>
    <w:rsid w:val="0013186C"/>
    <w:rsid w:val="00132A45"/>
    <w:rsid w:val="001359FA"/>
    <w:rsid w:val="00136134"/>
    <w:rsid w:val="0013714F"/>
    <w:rsid w:val="00140666"/>
    <w:rsid w:val="0014233F"/>
    <w:rsid w:val="00142739"/>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568A"/>
    <w:rsid w:val="00177D83"/>
    <w:rsid w:val="00180387"/>
    <w:rsid w:val="001818CC"/>
    <w:rsid w:val="0018224A"/>
    <w:rsid w:val="001836CE"/>
    <w:rsid w:val="00183EBF"/>
    <w:rsid w:val="00186793"/>
    <w:rsid w:val="0019082C"/>
    <w:rsid w:val="00192D05"/>
    <w:rsid w:val="00193A8C"/>
    <w:rsid w:val="001A2E2D"/>
    <w:rsid w:val="001A4BAA"/>
    <w:rsid w:val="001A4F4E"/>
    <w:rsid w:val="001A5D31"/>
    <w:rsid w:val="001A76F3"/>
    <w:rsid w:val="001B0798"/>
    <w:rsid w:val="001B5583"/>
    <w:rsid w:val="001B5A24"/>
    <w:rsid w:val="001C0599"/>
    <w:rsid w:val="001C3C57"/>
    <w:rsid w:val="001C4664"/>
    <w:rsid w:val="001C4EBE"/>
    <w:rsid w:val="001C5B90"/>
    <w:rsid w:val="001D0E60"/>
    <w:rsid w:val="001D272D"/>
    <w:rsid w:val="001D280C"/>
    <w:rsid w:val="001D294E"/>
    <w:rsid w:val="001D534A"/>
    <w:rsid w:val="001D688B"/>
    <w:rsid w:val="001E2D50"/>
    <w:rsid w:val="001E44F3"/>
    <w:rsid w:val="001F053A"/>
    <w:rsid w:val="001F2DA6"/>
    <w:rsid w:val="001F4DBE"/>
    <w:rsid w:val="001F62AF"/>
    <w:rsid w:val="001F793D"/>
    <w:rsid w:val="001F7E9D"/>
    <w:rsid w:val="002009A2"/>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1C42"/>
    <w:rsid w:val="002C3640"/>
    <w:rsid w:val="002C3FD3"/>
    <w:rsid w:val="002C419A"/>
    <w:rsid w:val="002C472D"/>
    <w:rsid w:val="002C52BE"/>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67D2C"/>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34DE"/>
    <w:rsid w:val="003A4ED6"/>
    <w:rsid w:val="003A56DC"/>
    <w:rsid w:val="003B411E"/>
    <w:rsid w:val="003B445F"/>
    <w:rsid w:val="003B49BF"/>
    <w:rsid w:val="003B60DA"/>
    <w:rsid w:val="003B60EE"/>
    <w:rsid w:val="003B668A"/>
    <w:rsid w:val="003B7282"/>
    <w:rsid w:val="003C012D"/>
    <w:rsid w:val="003C16E3"/>
    <w:rsid w:val="003C222D"/>
    <w:rsid w:val="003C252F"/>
    <w:rsid w:val="003C6DDA"/>
    <w:rsid w:val="003C7AEA"/>
    <w:rsid w:val="003C7D21"/>
    <w:rsid w:val="003D15A3"/>
    <w:rsid w:val="003D1DBD"/>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345"/>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0F0"/>
    <w:rsid w:val="005B5D99"/>
    <w:rsid w:val="005B74B8"/>
    <w:rsid w:val="005C1353"/>
    <w:rsid w:val="005C1587"/>
    <w:rsid w:val="005C3612"/>
    <w:rsid w:val="005C3A63"/>
    <w:rsid w:val="005C65C2"/>
    <w:rsid w:val="005C765D"/>
    <w:rsid w:val="005C7B4D"/>
    <w:rsid w:val="005D7CA9"/>
    <w:rsid w:val="005E0F5F"/>
    <w:rsid w:val="005E4A21"/>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244D1"/>
    <w:rsid w:val="006255D4"/>
    <w:rsid w:val="00632332"/>
    <w:rsid w:val="00633E85"/>
    <w:rsid w:val="006361EE"/>
    <w:rsid w:val="0063657E"/>
    <w:rsid w:val="00636EB6"/>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48A"/>
    <w:rsid w:val="006866E8"/>
    <w:rsid w:val="00687FB1"/>
    <w:rsid w:val="0069608C"/>
    <w:rsid w:val="00697952"/>
    <w:rsid w:val="006A04E6"/>
    <w:rsid w:val="006A0B3D"/>
    <w:rsid w:val="006A2F71"/>
    <w:rsid w:val="006A5910"/>
    <w:rsid w:val="006A5B5A"/>
    <w:rsid w:val="006B1ABC"/>
    <w:rsid w:val="006B2934"/>
    <w:rsid w:val="006B2CC8"/>
    <w:rsid w:val="006B64BE"/>
    <w:rsid w:val="006B6669"/>
    <w:rsid w:val="006C1A92"/>
    <w:rsid w:val="006C2935"/>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5F29"/>
    <w:rsid w:val="00707DF8"/>
    <w:rsid w:val="00711F00"/>
    <w:rsid w:val="0071328D"/>
    <w:rsid w:val="00717865"/>
    <w:rsid w:val="00721866"/>
    <w:rsid w:val="0072436A"/>
    <w:rsid w:val="00735F3A"/>
    <w:rsid w:val="00735FB1"/>
    <w:rsid w:val="007367E1"/>
    <w:rsid w:val="007379A0"/>
    <w:rsid w:val="00741B55"/>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45FC"/>
    <w:rsid w:val="00765152"/>
    <w:rsid w:val="007658F9"/>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97F0C"/>
    <w:rsid w:val="007A345A"/>
    <w:rsid w:val="007A3D35"/>
    <w:rsid w:val="007A78C2"/>
    <w:rsid w:val="007B05E9"/>
    <w:rsid w:val="007B148E"/>
    <w:rsid w:val="007B1E17"/>
    <w:rsid w:val="007B4C73"/>
    <w:rsid w:val="007C0C1F"/>
    <w:rsid w:val="007C1F58"/>
    <w:rsid w:val="007C206E"/>
    <w:rsid w:val="007C2936"/>
    <w:rsid w:val="007C4A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355A"/>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2181"/>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6782D"/>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2D3"/>
    <w:rsid w:val="00995515"/>
    <w:rsid w:val="009966F8"/>
    <w:rsid w:val="009A0CF9"/>
    <w:rsid w:val="009A10C4"/>
    <w:rsid w:val="009A142A"/>
    <w:rsid w:val="009A17F4"/>
    <w:rsid w:val="009A193C"/>
    <w:rsid w:val="009A2FD6"/>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5E2"/>
    <w:rsid w:val="009F29EB"/>
    <w:rsid w:val="009F2D3B"/>
    <w:rsid w:val="009F3C78"/>
    <w:rsid w:val="009F5ACE"/>
    <w:rsid w:val="009F7FE9"/>
    <w:rsid w:val="00A00A92"/>
    <w:rsid w:val="00A02426"/>
    <w:rsid w:val="00A0589C"/>
    <w:rsid w:val="00A05A3A"/>
    <w:rsid w:val="00A06CAB"/>
    <w:rsid w:val="00A12A69"/>
    <w:rsid w:val="00A12DBB"/>
    <w:rsid w:val="00A150A7"/>
    <w:rsid w:val="00A151B8"/>
    <w:rsid w:val="00A157E7"/>
    <w:rsid w:val="00A210DD"/>
    <w:rsid w:val="00A21443"/>
    <w:rsid w:val="00A22ED0"/>
    <w:rsid w:val="00A23006"/>
    <w:rsid w:val="00A24099"/>
    <w:rsid w:val="00A264B0"/>
    <w:rsid w:val="00A2768E"/>
    <w:rsid w:val="00A31263"/>
    <w:rsid w:val="00A329BC"/>
    <w:rsid w:val="00A33E3C"/>
    <w:rsid w:val="00A3426E"/>
    <w:rsid w:val="00A353ED"/>
    <w:rsid w:val="00A37596"/>
    <w:rsid w:val="00A375D9"/>
    <w:rsid w:val="00A37FBB"/>
    <w:rsid w:val="00A4236C"/>
    <w:rsid w:val="00A43CAC"/>
    <w:rsid w:val="00A45E20"/>
    <w:rsid w:val="00A46DB8"/>
    <w:rsid w:val="00A52DF2"/>
    <w:rsid w:val="00A546A6"/>
    <w:rsid w:val="00A54A5E"/>
    <w:rsid w:val="00A55810"/>
    <w:rsid w:val="00A56CDD"/>
    <w:rsid w:val="00A56E3B"/>
    <w:rsid w:val="00A57C5A"/>
    <w:rsid w:val="00A611EE"/>
    <w:rsid w:val="00A64AD2"/>
    <w:rsid w:val="00A72C1F"/>
    <w:rsid w:val="00A72F5E"/>
    <w:rsid w:val="00A75482"/>
    <w:rsid w:val="00A75A3C"/>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0D0"/>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333"/>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13B0"/>
    <w:rsid w:val="00B932C8"/>
    <w:rsid w:val="00B93B31"/>
    <w:rsid w:val="00B9457F"/>
    <w:rsid w:val="00B965BF"/>
    <w:rsid w:val="00BA06B1"/>
    <w:rsid w:val="00BA1DF6"/>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CE8"/>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5D9A"/>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4EC"/>
    <w:rsid w:val="00D676A0"/>
    <w:rsid w:val="00D70856"/>
    <w:rsid w:val="00D73117"/>
    <w:rsid w:val="00D73D86"/>
    <w:rsid w:val="00D75451"/>
    <w:rsid w:val="00D8335C"/>
    <w:rsid w:val="00D9068D"/>
    <w:rsid w:val="00D92B16"/>
    <w:rsid w:val="00D93862"/>
    <w:rsid w:val="00D93CC2"/>
    <w:rsid w:val="00D94F19"/>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036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638A"/>
    <w:rsid w:val="00E56D2F"/>
    <w:rsid w:val="00E635B9"/>
    <w:rsid w:val="00E6363C"/>
    <w:rsid w:val="00E66700"/>
    <w:rsid w:val="00E66AD7"/>
    <w:rsid w:val="00E67B0A"/>
    <w:rsid w:val="00E71BAD"/>
    <w:rsid w:val="00E733FF"/>
    <w:rsid w:val="00E74106"/>
    <w:rsid w:val="00E74864"/>
    <w:rsid w:val="00E749BA"/>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81A"/>
    <w:rsid w:val="00EB0BAE"/>
    <w:rsid w:val="00EB0F20"/>
    <w:rsid w:val="00EB1632"/>
    <w:rsid w:val="00EB377B"/>
    <w:rsid w:val="00EB4086"/>
    <w:rsid w:val="00EB4EB6"/>
    <w:rsid w:val="00EB535D"/>
    <w:rsid w:val="00EB5CD2"/>
    <w:rsid w:val="00EB7362"/>
    <w:rsid w:val="00EC34E0"/>
    <w:rsid w:val="00EC5385"/>
    <w:rsid w:val="00EC5430"/>
    <w:rsid w:val="00EC60B6"/>
    <w:rsid w:val="00EC6373"/>
    <w:rsid w:val="00EC7853"/>
    <w:rsid w:val="00ED047D"/>
    <w:rsid w:val="00ED0A59"/>
    <w:rsid w:val="00ED297E"/>
    <w:rsid w:val="00ED4626"/>
    <w:rsid w:val="00ED5B3C"/>
    <w:rsid w:val="00ED6C28"/>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136"/>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475B"/>
    <w:rsid w:val="00FC5C65"/>
    <w:rsid w:val="00FC66B1"/>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A2FD6"/>
    <w:rPr>
      <w:sz w:val="16"/>
      <w:szCs w:val="16"/>
    </w:rPr>
  </w:style>
  <w:style w:type="paragraph" w:styleId="CommentText">
    <w:name w:val="annotation text"/>
    <w:basedOn w:val="Normal"/>
    <w:link w:val="CommentTextChar"/>
    <w:uiPriority w:val="99"/>
    <w:semiHidden/>
    <w:unhideWhenUsed/>
    <w:rsid w:val="009A2FD6"/>
    <w:pPr>
      <w:spacing w:line="240" w:lineRule="auto"/>
    </w:pPr>
    <w:rPr>
      <w:szCs w:val="20"/>
    </w:rPr>
  </w:style>
  <w:style w:type="character" w:customStyle="1" w:styleId="CommentTextChar">
    <w:name w:val="Comment Text Char"/>
    <w:basedOn w:val="DefaultParagraphFont"/>
    <w:link w:val="CommentText"/>
    <w:uiPriority w:val="99"/>
    <w:semiHidden/>
    <w:rsid w:val="009A2FD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A2FD6"/>
    <w:rPr>
      <w:b/>
      <w:bCs/>
    </w:rPr>
  </w:style>
  <w:style w:type="character" w:customStyle="1" w:styleId="CommentSubjectChar">
    <w:name w:val="Comment Subject Char"/>
    <w:basedOn w:val="CommentTextChar"/>
    <w:link w:val="CommentSubject"/>
    <w:uiPriority w:val="99"/>
    <w:semiHidden/>
    <w:rsid w:val="009A2FD6"/>
    <w:rPr>
      <w:rFonts w:ascii="Times New Roman" w:hAnsi="Times New Roman"/>
      <w:b/>
      <w:bCs/>
      <w:spacing w:val="4"/>
      <w:w w:val="103"/>
      <w:kern w:val="14"/>
      <w:lang w:val="fr-CA"/>
    </w:rPr>
  </w:style>
  <w:style w:type="table" w:styleId="TableGrid">
    <w:name w:val="Table Grid"/>
    <w:basedOn w:val="TableNormal"/>
    <w:rsid w:val="009A0CF9"/>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612"/>
    <w:rPr>
      <w:color w:val="0000FF"/>
      <w:u w:val="none"/>
    </w:rPr>
  </w:style>
  <w:style w:type="character" w:styleId="FollowedHyperlink">
    <w:name w:val="FollowedHyperlink"/>
    <w:basedOn w:val="DefaultParagraphFont"/>
    <w:uiPriority w:val="99"/>
    <w:semiHidden/>
    <w:unhideWhenUsed/>
    <w:rsid w:val="005C3612"/>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03CE8"/>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SingleTxt"/>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TitleH1">
    <w:name w:val="Title_H1"/>
    <w:basedOn w:val="H1"/>
    <w:next w:val="SingleTxt"/>
    <w:qFormat/>
    <w:rsid w:val="003B7282"/>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TitleH2">
    <w:name w:val="Agenda_Title_H2"/>
    <w:basedOn w:val="TitleH1"/>
    <w:next w:val="Normal"/>
    <w:qFormat/>
    <w:rsid w:val="003B7282"/>
    <w:pPr>
      <w:keepNext/>
      <w:keepLines/>
      <w:spacing w:line="240" w:lineRule="exact"/>
      <w:ind w:left="0" w:right="0" w:firstLine="0"/>
      <w:outlineLvl w:val="1"/>
    </w:pPr>
    <w:rPr>
      <w:sz w:val="20"/>
    </w:rPr>
  </w:style>
  <w:style w:type="paragraph" w:customStyle="1" w:styleId="TitleHCH">
    <w:name w:val="Title_H_CH"/>
    <w:basedOn w:val="HCH"/>
    <w:next w:val="SingleTxt"/>
    <w:qFormat/>
    <w:rsid w:val="003B72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1836C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AgendaItemNormal">
    <w:name w:val="Agenda_Item_Normal"/>
    <w:next w:val="Normal"/>
    <w:autoRedefine/>
    <w:qFormat/>
    <w:rsid w:val="003B7282"/>
    <w:pPr>
      <w:spacing w:line="240" w:lineRule="exact"/>
    </w:pPr>
    <w:rPr>
      <w:rFonts w:ascii="Times New Roman" w:hAnsi="Times New Roman"/>
      <w:spacing w:val="4"/>
      <w:w w:val="103"/>
      <w:kern w:val="14"/>
      <w:szCs w:val="22"/>
      <w:lang w:val="fr-CA"/>
    </w:r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9A2FD6"/>
    <w:rPr>
      <w:sz w:val="16"/>
      <w:szCs w:val="16"/>
    </w:rPr>
  </w:style>
  <w:style w:type="paragraph" w:styleId="CommentText">
    <w:name w:val="annotation text"/>
    <w:basedOn w:val="Normal"/>
    <w:link w:val="CommentTextChar"/>
    <w:uiPriority w:val="99"/>
    <w:semiHidden/>
    <w:unhideWhenUsed/>
    <w:rsid w:val="009A2FD6"/>
    <w:pPr>
      <w:spacing w:line="240" w:lineRule="auto"/>
    </w:pPr>
    <w:rPr>
      <w:szCs w:val="20"/>
    </w:rPr>
  </w:style>
  <w:style w:type="character" w:customStyle="1" w:styleId="CommentTextChar">
    <w:name w:val="Comment Text Char"/>
    <w:basedOn w:val="DefaultParagraphFont"/>
    <w:link w:val="CommentText"/>
    <w:uiPriority w:val="99"/>
    <w:semiHidden/>
    <w:rsid w:val="009A2FD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9A2FD6"/>
    <w:rPr>
      <w:b/>
      <w:bCs/>
    </w:rPr>
  </w:style>
  <w:style w:type="character" w:customStyle="1" w:styleId="CommentSubjectChar">
    <w:name w:val="Comment Subject Char"/>
    <w:basedOn w:val="CommentTextChar"/>
    <w:link w:val="CommentSubject"/>
    <w:uiPriority w:val="99"/>
    <w:semiHidden/>
    <w:rsid w:val="009A2FD6"/>
    <w:rPr>
      <w:rFonts w:ascii="Times New Roman" w:hAnsi="Times New Roman"/>
      <w:b/>
      <w:bCs/>
      <w:spacing w:val="4"/>
      <w:w w:val="103"/>
      <w:kern w:val="14"/>
      <w:lang w:val="fr-CA"/>
    </w:rPr>
  </w:style>
  <w:style w:type="table" w:styleId="TableGrid">
    <w:name w:val="Table Grid"/>
    <w:basedOn w:val="TableNormal"/>
    <w:rsid w:val="009A0CF9"/>
    <w:pPr>
      <w:suppressAutoHyphens/>
      <w:spacing w:line="24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3612"/>
    <w:rPr>
      <w:color w:val="0000FF"/>
      <w:u w:val="none"/>
    </w:rPr>
  </w:style>
  <w:style w:type="character" w:styleId="FollowedHyperlink">
    <w:name w:val="FollowedHyperlink"/>
    <w:basedOn w:val="DefaultParagraphFont"/>
    <w:uiPriority w:val="99"/>
    <w:semiHidden/>
    <w:unhideWhenUsed/>
    <w:rsid w:val="005C3612"/>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undocs.org/fr/ST/AI/2011/6"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fr/ST/AI/2001/1" TargetMode="External"/><Relationship Id="rId2" Type="http://schemas.openxmlformats.org/officeDocument/2006/relationships/numbering" Target="numbering.xml"/><Relationship Id="rId16" Type="http://schemas.openxmlformats.org/officeDocument/2006/relationships/hyperlink" Target="http://undocs.org/fr/A/RES/70/244" TargetMode="External"/><Relationship Id="rId20" Type="http://schemas.openxmlformats.org/officeDocument/2006/relationships/hyperlink" Target="http://undocs.org/fr/ST/AI/201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undocs.org/fr/ST/SGB/2009/4" TargetMode="External"/><Relationship Id="rId10" Type="http://schemas.openxmlformats.org/officeDocument/2006/relationships/header" Target="header2.xml"/><Relationship Id="rId19" Type="http://schemas.openxmlformats.org/officeDocument/2006/relationships/hyperlink" Target="http://undocs.org/fr/ST/AI/2011/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E3A57-A264-485C-B047-C27D76118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3003</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FTPU - Office 2010</vt:lpstr>
    </vt:vector>
  </TitlesOfParts>
  <Company>United Nations</Company>
  <LinksUpToDate>false</LinksUpToDate>
  <CharactersWithSpaces>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Bernadette</dc:creator>
  <cp:lastModifiedBy>Diana C. Guiu</cp:lastModifiedBy>
  <cp:revision>2</cp:revision>
  <cp:lastPrinted>2016-07-19T15:56:00Z</cp:lastPrinted>
  <dcterms:created xsi:type="dcterms:W3CDTF">2016-07-28T19:39:00Z</dcterms:created>
  <dcterms:modified xsi:type="dcterms:W3CDTF">2016-07-28T19:39:00Z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1611300F</vt:lpwstr>
  </property>
  <property fmtid="{D5CDD505-2E9C-101B-9397-08002B2CF9AE}" pid="3" name="ODSRefJobNo">
    <vt:lpwstr>1620327F</vt:lpwstr>
  </property>
  <property fmtid="{D5CDD505-2E9C-101B-9397-08002B2CF9AE}" pid="4" name="Symbol1">
    <vt:lpwstr>ST/AI/2016/6</vt:lpwstr>
  </property>
  <property fmtid="{D5CDD505-2E9C-101B-9397-08002B2CF9AE}" pid="5" name="Symbol2">
    <vt:lpwstr/>
  </property>
  <property fmtid="{D5CDD505-2E9C-101B-9397-08002B2CF9AE}" pid="6" name="Translator">
    <vt:lpwstr/>
  </property>
  <property fmtid="{D5CDD505-2E9C-101B-9397-08002B2CF9AE}" pid="7" name="Distribution">
    <vt:lpwstr>générale</vt:lpwstr>
  </property>
  <property fmtid="{D5CDD505-2E9C-101B-9397-08002B2CF9AE}" pid="8" name="Publication Date">
    <vt:lpwstr>1 juillet 2016</vt:lpwstr>
  </property>
  <property fmtid="{D5CDD505-2E9C-101B-9397-08002B2CF9AE}" pid="9" name="Original">
    <vt:lpwstr>anglais</vt:lpwstr>
  </property>
  <property fmtid="{D5CDD505-2E9C-101B-9397-08002B2CF9AE}" pid="10" name="Release Date">
    <vt:lpwstr>190716</vt:lpwstr>
  </property>
  <property fmtid="{D5CDD505-2E9C-101B-9397-08002B2CF9AE}" pid="11" name="Comment">
    <vt:lpwstr/>
  </property>
  <property fmtid="{D5CDD505-2E9C-101B-9397-08002B2CF9AE}" pid="12" name="DraftPages">
    <vt:lpwstr> </vt:lpwstr>
  </property>
  <property fmtid="{D5CDD505-2E9C-101B-9397-08002B2CF9AE}" pid="13" name="Operator">
    <vt:lpwstr>bza</vt:lpwstr>
  </property>
</Properties>
</file>