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B9D7" w14:textId="77777777" w:rsidR="008D434B" w:rsidRDefault="008D434B" w:rsidP="008D434B">
      <w:pPr>
        <w:spacing w:line="240" w:lineRule="auto"/>
        <w:rPr>
          <w:sz w:val="2"/>
        </w:rPr>
        <w:sectPr w:rsidR="008D434B" w:rsidSect="0090756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0DA8A9E0" w14:textId="77777777" w:rsidR="0090756B" w:rsidRPr="00200E3E" w:rsidRDefault="0090756B" w:rsidP="0090756B">
      <w:pPr>
        <w:pStyle w:val="TitleHCH"/>
        <w:rPr>
          <w:lang w:val="fr-FR"/>
        </w:rPr>
      </w:pPr>
      <w:r w:rsidRPr="00200E3E">
        <w:rPr>
          <w:lang w:val="fr-FR"/>
        </w:rPr>
        <w:tab/>
      </w:r>
      <w:r w:rsidRPr="00200E3E">
        <w:rPr>
          <w:lang w:val="fr-FR"/>
        </w:rPr>
        <w:tab/>
      </w:r>
      <w:r w:rsidRPr="00200E3E">
        <w:rPr>
          <w:bCs/>
          <w:lang w:val="fr-FR"/>
        </w:rPr>
        <w:t>Instruction administrative</w:t>
      </w:r>
    </w:p>
    <w:p w14:paraId="1A89B6BE" w14:textId="77777777" w:rsidR="0090756B" w:rsidRPr="00200E3E" w:rsidRDefault="0090756B" w:rsidP="0090756B">
      <w:pPr>
        <w:pStyle w:val="SingleTxt"/>
        <w:spacing w:after="0" w:line="120" w:lineRule="exact"/>
        <w:rPr>
          <w:sz w:val="10"/>
          <w:lang w:val="fr-FR"/>
        </w:rPr>
      </w:pPr>
    </w:p>
    <w:p w14:paraId="30344BA0" w14:textId="77777777" w:rsidR="0090756B" w:rsidRPr="00200E3E" w:rsidRDefault="0090756B" w:rsidP="0090756B">
      <w:pPr>
        <w:pStyle w:val="SingleTxt"/>
        <w:spacing w:after="0" w:line="120" w:lineRule="exact"/>
        <w:rPr>
          <w:sz w:val="10"/>
          <w:lang w:val="fr-FR"/>
        </w:rPr>
      </w:pPr>
    </w:p>
    <w:p w14:paraId="6146003B" w14:textId="23E90B09" w:rsidR="0090756B" w:rsidRPr="00200E3E" w:rsidRDefault="0090756B" w:rsidP="0090756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Pr>
          <w:lang w:val="fr-FR"/>
        </w:rPr>
        <w:tab/>
      </w:r>
      <w:r w:rsidRPr="00200E3E">
        <w:rPr>
          <w:lang w:val="fr-FR"/>
        </w:rPr>
        <w:t>Utilisation de locaux au Siège à New York pour des réunions, conférences, manifestations et expositions</w:t>
      </w:r>
    </w:p>
    <w:p w14:paraId="5583BFBC" w14:textId="77777777" w:rsidR="0090756B" w:rsidRPr="00200E3E" w:rsidRDefault="0090756B" w:rsidP="0090756B">
      <w:pPr>
        <w:pStyle w:val="SingleTxt"/>
        <w:spacing w:after="0" w:line="120" w:lineRule="exact"/>
        <w:rPr>
          <w:sz w:val="10"/>
          <w:lang w:val="fr-FR"/>
        </w:rPr>
      </w:pPr>
    </w:p>
    <w:p w14:paraId="3A5F6324" w14:textId="77777777" w:rsidR="0090756B" w:rsidRPr="00200E3E" w:rsidRDefault="0090756B" w:rsidP="0090756B">
      <w:pPr>
        <w:pStyle w:val="SingleTxt"/>
        <w:spacing w:after="0" w:line="120" w:lineRule="exact"/>
        <w:rPr>
          <w:sz w:val="10"/>
          <w:lang w:val="fr-FR"/>
        </w:rPr>
      </w:pPr>
    </w:p>
    <w:p w14:paraId="786B3FBB" w14:textId="7E75F728" w:rsidR="0090756B" w:rsidRPr="00200E3E" w:rsidRDefault="0090756B" w:rsidP="0090756B">
      <w:pPr>
        <w:pStyle w:val="SingleTxt"/>
        <w:rPr>
          <w:lang w:val="fr-FR"/>
        </w:rPr>
      </w:pPr>
      <w:r w:rsidRPr="00200E3E">
        <w:rPr>
          <w:lang w:val="fr-FR"/>
        </w:rPr>
        <w:tab/>
        <w:t>En vue de définir les modalités de l</w:t>
      </w:r>
      <w:r w:rsidR="00F23D9E">
        <w:rPr>
          <w:lang w:val="fr-FR"/>
        </w:rPr>
        <w:t>’</w:t>
      </w:r>
      <w:r w:rsidRPr="00200E3E">
        <w:rPr>
          <w:lang w:val="fr-FR"/>
        </w:rPr>
        <w:t>utilisation des locaux du Siège de l</w:t>
      </w:r>
      <w:r w:rsidR="00F23D9E">
        <w:rPr>
          <w:lang w:val="fr-FR"/>
        </w:rPr>
        <w:t>’</w:t>
      </w:r>
      <w:r w:rsidRPr="00200E3E">
        <w:rPr>
          <w:lang w:val="fr-FR"/>
        </w:rPr>
        <w:t>Organisation des Nations Unies, à New York, la Secrétaire générale adjointe chargée du Département des stratégies et politiques de gestion et de la conformité promulgue ce qui suit.</w:t>
      </w:r>
    </w:p>
    <w:p w14:paraId="4578D91A" w14:textId="77777777" w:rsidR="0090756B" w:rsidRPr="00200E3E" w:rsidRDefault="0090756B" w:rsidP="0090756B">
      <w:pPr>
        <w:pStyle w:val="SingleTxt"/>
        <w:spacing w:after="0" w:line="120" w:lineRule="exact"/>
        <w:rPr>
          <w:sz w:val="10"/>
          <w:lang w:val="fr-FR"/>
        </w:rPr>
      </w:pPr>
    </w:p>
    <w:p w14:paraId="482D9123"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1</w:t>
      </w:r>
      <w:r w:rsidRPr="00200E3E">
        <w:rPr>
          <w:lang w:val="fr-FR"/>
        </w:rPr>
        <w:t xml:space="preserve"> </w:t>
      </w:r>
    </w:p>
    <w:p w14:paraId="1725CBA0" w14:textId="6ED6E65E"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Champ d</w:t>
      </w:r>
      <w:r w:rsidR="00F23D9E">
        <w:rPr>
          <w:bCs/>
          <w:lang w:val="fr-FR"/>
        </w:rPr>
        <w:t>’</w:t>
      </w:r>
      <w:r w:rsidRPr="00200E3E">
        <w:rPr>
          <w:bCs/>
          <w:lang w:val="fr-FR"/>
        </w:rPr>
        <w:t>application</w:t>
      </w:r>
    </w:p>
    <w:p w14:paraId="20017FC9" w14:textId="77777777" w:rsidR="0090756B" w:rsidRPr="00200E3E" w:rsidRDefault="0090756B" w:rsidP="0090756B">
      <w:pPr>
        <w:pStyle w:val="SingleTxt"/>
        <w:spacing w:after="0" w:line="120" w:lineRule="exact"/>
        <w:rPr>
          <w:sz w:val="10"/>
          <w:lang w:val="fr-FR"/>
        </w:rPr>
      </w:pPr>
    </w:p>
    <w:p w14:paraId="74900082" w14:textId="60A7EE83" w:rsidR="0090756B" w:rsidRDefault="0090756B" w:rsidP="0090756B">
      <w:pPr>
        <w:pStyle w:val="SingleTxt"/>
        <w:rPr>
          <w:lang w:val="fr-FR"/>
        </w:rPr>
      </w:pPr>
      <w:r w:rsidRPr="00200E3E">
        <w:rPr>
          <w:lang w:val="fr-FR"/>
        </w:rPr>
        <w:tab/>
        <w:t>La présente instruction définit les principes directeurs touchant l</w:t>
      </w:r>
      <w:r w:rsidR="00F23D9E">
        <w:rPr>
          <w:lang w:val="fr-FR"/>
        </w:rPr>
        <w:t>’</w:t>
      </w:r>
      <w:r w:rsidRPr="00200E3E">
        <w:rPr>
          <w:lang w:val="fr-FR"/>
        </w:rPr>
        <w:t>utilisation des locaux du Siège</w:t>
      </w:r>
      <w:r>
        <w:rPr>
          <w:lang w:val="fr-FR"/>
        </w:rPr>
        <w:t xml:space="preserve"> de l</w:t>
      </w:r>
      <w:r w:rsidR="00F23D9E">
        <w:rPr>
          <w:lang w:val="fr-FR"/>
        </w:rPr>
        <w:t>’</w:t>
      </w:r>
      <w:r>
        <w:rPr>
          <w:lang w:val="fr-FR"/>
        </w:rPr>
        <w:t>Organisation des Nations Unies,</w:t>
      </w:r>
      <w:r w:rsidRPr="00200E3E">
        <w:rPr>
          <w:lang w:val="fr-FR"/>
        </w:rPr>
        <w:t xml:space="preserve"> à New York (« les locaux de l</w:t>
      </w:r>
      <w:r w:rsidR="00F23D9E">
        <w:rPr>
          <w:lang w:val="fr-FR"/>
        </w:rPr>
        <w:t>’</w:t>
      </w:r>
      <w:r w:rsidRPr="00200E3E">
        <w:rPr>
          <w:lang w:val="fr-FR"/>
        </w:rPr>
        <w:t>O</w:t>
      </w:r>
      <w:r>
        <w:rPr>
          <w:lang w:val="fr-FR"/>
        </w:rPr>
        <w:t>NU</w:t>
      </w:r>
      <w:r w:rsidRPr="00200E3E">
        <w:rPr>
          <w:lang w:val="fr-FR"/>
        </w:rPr>
        <w:t> »)</w:t>
      </w:r>
      <w:r>
        <w:rPr>
          <w:lang w:val="fr-FR"/>
        </w:rPr>
        <w:t>,</w:t>
      </w:r>
      <w:r w:rsidRPr="00200E3E">
        <w:rPr>
          <w:lang w:val="fr-FR"/>
        </w:rPr>
        <w:t xml:space="preserve"> pour des réunions, conférences, manifestations et expositions.</w:t>
      </w:r>
    </w:p>
    <w:p w14:paraId="2575F2A1" w14:textId="1087E5FF" w:rsidR="00BC151F" w:rsidRPr="00C85683" w:rsidRDefault="00BC151F" w:rsidP="00C85683">
      <w:pPr>
        <w:pStyle w:val="SingleTxt"/>
        <w:spacing w:after="0" w:line="120" w:lineRule="exact"/>
        <w:rPr>
          <w:sz w:val="10"/>
          <w:lang w:val="fr-FR"/>
        </w:rPr>
      </w:pPr>
    </w:p>
    <w:p w14:paraId="1A4ADE98"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2</w:t>
      </w:r>
    </w:p>
    <w:p w14:paraId="454A2CC2"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Définitions</w:t>
      </w:r>
    </w:p>
    <w:p w14:paraId="49A3E984" w14:textId="77777777" w:rsidR="0090756B" w:rsidRPr="00200E3E" w:rsidRDefault="0090756B" w:rsidP="0090756B">
      <w:pPr>
        <w:pStyle w:val="SingleTxt"/>
        <w:spacing w:after="0" w:line="120" w:lineRule="exact"/>
        <w:ind w:left="0"/>
        <w:rPr>
          <w:sz w:val="10"/>
          <w:lang w:val="fr-FR"/>
        </w:rPr>
      </w:pPr>
    </w:p>
    <w:p w14:paraId="30423B08" w14:textId="10A04DF8" w:rsidR="0090756B" w:rsidRPr="00200E3E" w:rsidRDefault="0090756B" w:rsidP="0090756B">
      <w:pPr>
        <w:pStyle w:val="SingleTxt"/>
        <w:rPr>
          <w:lang w:val="fr-FR"/>
        </w:rPr>
      </w:pPr>
      <w:r>
        <w:rPr>
          <w:lang w:val="fr-FR"/>
        </w:rPr>
        <w:tab/>
      </w:r>
      <w:r w:rsidRPr="00200E3E">
        <w:rPr>
          <w:lang w:val="fr-FR"/>
        </w:rPr>
        <w:t>Aux fins de la présente instruction</w:t>
      </w:r>
      <w:r w:rsidR="00F23D9E">
        <w:rPr>
          <w:lang w:val="fr-FR"/>
        </w:rPr>
        <w:t> :</w:t>
      </w:r>
    </w:p>
    <w:p w14:paraId="77DF5FB8" w14:textId="67D612D8" w:rsidR="0090756B" w:rsidRPr="00200E3E" w:rsidRDefault="0090756B" w:rsidP="0090756B">
      <w:pPr>
        <w:pStyle w:val="SingleTxt"/>
        <w:rPr>
          <w:lang w:val="fr-FR"/>
        </w:rPr>
      </w:pPr>
      <w:r>
        <w:rPr>
          <w:lang w:val="fr-FR"/>
        </w:rPr>
        <w:tab/>
      </w:r>
      <w:r w:rsidRPr="00200E3E">
        <w:rPr>
          <w:lang w:val="fr-FR"/>
        </w:rPr>
        <w:t>a)</w:t>
      </w:r>
      <w:r>
        <w:rPr>
          <w:lang w:val="fr-FR"/>
        </w:rPr>
        <w:tab/>
      </w:r>
      <w:r w:rsidRPr="00200E3E">
        <w:rPr>
          <w:lang w:val="fr-FR"/>
        </w:rPr>
        <w:t>« Entité des Nations Unies » s</w:t>
      </w:r>
      <w:r w:rsidR="00F23D9E">
        <w:rPr>
          <w:lang w:val="fr-FR"/>
        </w:rPr>
        <w:t>’</w:t>
      </w:r>
      <w:r w:rsidRPr="00200E3E">
        <w:rPr>
          <w:lang w:val="fr-FR"/>
        </w:rPr>
        <w:t>entend de tout département ou bureau du Secrétariat, y compris tout bureau hors Siège, toute mission politique spéciale ou mission de maintien de la paix, toute commission régionale, tout fonds, programme ou institution spécialisée des Nations Unies ou autre entité du système des Nations Unies, ou toute autre entité chargée de l</w:t>
      </w:r>
      <w:r w:rsidR="00F23D9E">
        <w:rPr>
          <w:lang w:val="fr-FR"/>
        </w:rPr>
        <w:t>’</w:t>
      </w:r>
      <w:r w:rsidRPr="00200E3E">
        <w:rPr>
          <w:lang w:val="fr-FR"/>
        </w:rPr>
        <w:t>exécution d</w:t>
      </w:r>
      <w:r w:rsidR="00F23D9E">
        <w:rPr>
          <w:lang w:val="fr-FR"/>
        </w:rPr>
        <w:t>’</w:t>
      </w:r>
      <w:r w:rsidRPr="00200E3E">
        <w:rPr>
          <w:lang w:val="fr-FR"/>
        </w:rPr>
        <w:t>activités programmées</w:t>
      </w:r>
      <w:r w:rsidR="00F23D9E">
        <w:rPr>
          <w:lang w:val="fr-FR"/>
        </w:rPr>
        <w:t> ;</w:t>
      </w:r>
    </w:p>
    <w:p w14:paraId="4F68106D" w14:textId="6089E86E" w:rsidR="0090756B" w:rsidRPr="00200E3E" w:rsidRDefault="0090756B" w:rsidP="0090756B">
      <w:pPr>
        <w:pStyle w:val="SingleTxt"/>
        <w:rPr>
          <w:lang w:val="fr-FR"/>
        </w:rPr>
      </w:pPr>
      <w:r>
        <w:rPr>
          <w:lang w:val="fr-FR"/>
        </w:rPr>
        <w:tab/>
        <w:t>b)</w:t>
      </w:r>
      <w:r>
        <w:rPr>
          <w:lang w:val="fr-FR"/>
        </w:rPr>
        <w:tab/>
      </w:r>
      <w:r w:rsidRPr="00200E3E">
        <w:rPr>
          <w:lang w:val="fr-FR"/>
        </w:rPr>
        <w:t>« </w:t>
      </w:r>
      <w:r w:rsidRPr="00FB5B02">
        <w:rPr>
          <w:lang w:val="fr-FR"/>
        </w:rPr>
        <w:t>Organisateur</w:t>
      </w:r>
      <w:r w:rsidRPr="00200E3E">
        <w:rPr>
          <w:lang w:val="fr-FR"/>
        </w:rPr>
        <w:t> » s</w:t>
      </w:r>
      <w:r w:rsidR="00F23D9E">
        <w:rPr>
          <w:lang w:val="fr-FR"/>
        </w:rPr>
        <w:t>’</w:t>
      </w:r>
      <w:r w:rsidRPr="00200E3E">
        <w:rPr>
          <w:lang w:val="fr-FR"/>
        </w:rPr>
        <w:t xml:space="preserve">entend de toute entité des Nations Unies ou </w:t>
      </w:r>
      <w:r>
        <w:rPr>
          <w:lang w:val="fr-FR"/>
        </w:rPr>
        <w:t xml:space="preserve">entité </w:t>
      </w:r>
      <w:r w:rsidRPr="00200E3E">
        <w:rPr>
          <w:lang w:val="fr-FR"/>
        </w:rPr>
        <w:t>extérieure au système des Nations Unies, ou de tout organisme ou groupe organisant la réunion, conférence, manifestation ou exposition dans les locaux de l</w:t>
      </w:r>
      <w:r w:rsidR="00F23D9E">
        <w:rPr>
          <w:lang w:val="fr-FR"/>
        </w:rPr>
        <w:t>’</w:t>
      </w:r>
      <w:r w:rsidRPr="00200E3E">
        <w:rPr>
          <w:lang w:val="fr-FR"/>
        </w:rPr>
        <w:t>O</w:t>
      </w:r>
      <w:r>
        <w:rPr>
          <w:lang w:val="fr-FR"/>
        </w:rPr>
        <w:t>NU</w:t>
      </w:r>
      <w:r w:rsidRPr="00200E3E">
        <w:rPr>
          <w:lang w:val="fr-FR"/>
        </w:rPr>
        <w:t>. Lorsqu</w:t>
      </w:r>
      <w:r w:rsidR="00F23D9E">
        <w:rPr>
          <w:lang w:val="fr-FR"/>
        </w:rPr>
        <w:t>’</w:t>
      </w:r>
      <w:r w:rsidRPr="00200E3E">
        <w:rPr>
          <w:lang w:val="fr-FR"/>
        </w:rPr>
        <w:t>une entité des Nations Unies joue le rôle d</w:t>
      </w:r>
      <w:r w:rsidR="00F23D9E">
        <w:rPr>
          <w:lang w:val="fr-FR"/>
        </w:rPr>
        <w:t>’</w:t>
      </w:r>
      <w:r w:rsidRPr="00200E3E">
        <w:rPr>
          <w:lang w:val="fr-FR"/>
        </w:rPr>
        <w:t xml:space="preserve">organisateur ou de coorganisateur, elle est également considérée comme </w:t>
      </w:r>
      <w:r w:rsidRPr="001D52C2">
        <w:rPr>
          <w:lang w:val="fr-FR"/>
        </w:rPr>
        <w:t>l</w:t>
      </w:r>
      <w:r w:rsidR="00F23D9E">
        <w:rPr>
          <w:lang w:val="fr-FR"/>
        </w:rPr>
        <w:t>’</w:t>
      </w:r>
      <w:r w:rsidRPr="001D52C2">
        <w:rPr>
          <w:lang w:val="fr-FR"/>
        </w:rPr>
        <w:t>entité partenaire</w:t>
      </w:r>
      <w:r w:rsidR="00F23D9E">
        <w:rPr>
          <w:lang w:val="fr-FR"/>
        </w:rPr>
        <w:t> ;</w:t>
      </w:r>
    </w:p>
    <w:p w14:paraId="664B05BB" w14:textId="04960C6C" w:rsidR="0090756B" w:rsidRPr="00200E3E" w:rsidRDefault="0090756B" w:rsidP="0090756B">
      <w:pPr>
        <w:pStyle w:val="SingleTxt"/>
        <w:rPr>
          <w:lang w:val="fr-FR"/>
        </w:rPr>
      </w:pPr>
      <w:r>
        <w:rPr>
          <w:lang w:val="fr-FR"/>
        </w:rPr>
        <w:tab/>
        <w:t>c)</w:t>
      </w:r>
      <w:r>
        <w:rPr>
          <w:lang w:val="fr-FR"/>
        </w:rPr>
        <w:tab/>
      </w:r>
      <w:r w:rsidRPr="00200E3E">
        <w:rPr>
          <w:lang w:val="fr-FR"/>
        </w:rPr>
        <w:t>« </w:t>
      </w:r>
      <w:r w:rsidRPr="00FB5B02">
        <w:rPr>
          <w:lang w:val="fr-FR"/>
        </w:rPr>
        <w:t>Coorganisateur</w:t>
      </w:r>
      <w:r w:rsidRPr="00200E3E">
        <w:rPr>
          <w:lang w:val="fr-FR"/>
        </w:rPr>
        <w:t> » s</w:t>
      </w:r>
      <w:r w:rsidR="00F23D9E">
        <w:rPr>
          <w:lang w:val="fr-FR"/>
        </w:rPr>
        <w:t>’</w:t>
      </w:r>
      <w:r w:rsidRPr="00200E3E">
        <w:rPr>
          <w:lang w:val="fr-FR"/>
        </w:rPr>
        <w:t xml:space="preserve">entend de chaque </w:t>
      </w:r>
      <w:r>
        <w:rPr>
          <w:lang w:val="fr-FR"/>
        </w:rPr>
        <w:t>o</w:t>
      </w:r>
      <w:r w:rsidRPr="00200E3E">
        <w:rPr>
          <w:lang w:val="fr-FR"/>
        </w:rPr>
        <w:t>rganisateur lorsque la réunion, conférence, manifestation ou exposition est organisée par plus d</w:t>
      </w:r>
      <w:r w:rsidR="00F23D9E">
        <w:rPr>
          <w:lang w:val="fr-FR"/>
        </w:rPr>
        <w:t>’</w:t>
      </w:r>
      <w:r w:rsidRPr="00200E3E">
        <w:rPr>
          <w:lang w:val="fr-FR"/>
        </w:rPr>
        <w:t xml:space="preserve">un </w:t>
      </w:r>
      <w:r w:rsidR="0072209C">
        <w:rPr>
          <w:lang w:val="fr-FR"/>
        </w:rPr>
        <w:t>o</w:t>
      </w:r>
      <w:r w:rsidRPr="00200E3E">
        <w:rPr>
          <w:lang w:val="fr-FR"/>
        </w:rPr>
        <w:t>rganisateur</w:t>
      </w:r>
      <w:r w:rsidR="00F23D9E">
        <w:rPr>
          <w:lang w:val="fr-FR"/>
        </w:rPr>
        <w:t> ;</w:t>
      </w:r>
    </w:p>
    <w:p w14:paraId="6727B27E" w14:textId="0B674E26" w:rsidR="0090756B" w:rsidRPr="00200E3E" w:rsidRDefault="0090756B" w:rsidP="0090756B">
      <w:pPr>
        <w:pStyle w:val="SingleTxt"/>
        <w:rPr>
          <w:lang w:val="fr-FR"/>
        </w:rPr>
      </w:pPr>
      <w:r>
        <w:rPr>
          <w:lang w:val="fr-FR"/>
        </w:rPr>
        <w:tab/>
        <w:t>d)</w:t>
      </w:r>
      <w:r>
        <w:rPr>
          <w:lang w:val="fr-FR"/>
        </w:rPr>
        <w:tab/>
      </w:r>
      <w:r w:rsidRPr="00200E3E">
        <w:rPr>
          <w:lang w:val="fr-FR"/>
        </w:rPr>
        <w:t>« </w:t>
      </w:r>
      <w:r w:rsidRPr="001D52C2">
        <w:rPr>
          <w:lang w:val="fr-FR"/>
        </w:rPr>
        <w:t>Entité partenaire</w:t>
      </w:r>
      <w:r w:rsidRPr="00200E3E">
        <w:rPr>
          <w:lang w:val="fr-FR"/>
        </w:rPr>
        <w:t> » s</w:t>
      </w:r>
      <w:r w:rsidR="00F23D9E">
        <w:rPr>
          <w:lang w:val="fr-FR"/>
        </w:rPr>
        <w:t>’</w:t>
      </w:r>
      <w:r w:rsidRPr="00200E3E">
        <w:rPr>
          <w:lang w:val="fr-FR"/>
        </w:rPr>
        <w:t xml:space="preserve">entend de toute entité des Nations Unies, </w:t>
      </w:r>
      <w:r w:rsidRPr="001D52C2">
        <w:rPr>
          <w:lang w:val="fr-FR"/>
        </w:rPr>
        <w:t>m</w:t>
      </w:r>
      <w:r w:rsidRPr="00200E3E">
        <w:rPr>
          <w:lang w:val="fr-FR"/>
        </w:rPr>
        <w:t xml:space="preserve">ission permanente ou </w:t>
      </w:r>
      <w:r w:rsidRPr="001D52C2">
        <w:rPr>
          <w:lang w:val="fr-FR"/>
        </w:rPr>
        <w:t>m</w:t>
      </w:r>
      <w:r w:rsidRPr="00200E3E">
        <w:rPr>
          <w:lang w:val="fr-FR"/>
        </w:rPr>
        <w:t>ission permanente d</w:t>
      </w:r>
      <w:r w:rsidR="00F23D9E">
        <w:rPr>
          <w:lang w:val="fr-FR"/>
        </w:rPr>
        <w:t>’</w:t>
      </w:r>
      <w:r w:rsidRPr="00200E3E">
        <w:rPr>
          <w:lang w:val="fr-FR"/>
        </w:rPr>
        <w:t>observation auprès de l</w:t>
      </w:r>
      <w:r w:rsidR="00F23D9E">
        <w:rPr>
          <w:lang w:val="fr-FR"/>
        </w:rPr>
        <w:t>’</w:t>
      </w:r>
      <w:r w:rsidRPr="00200E3E">
        <w:rPr>
          <w:lang w:val="fr-FR"/>
        </w:rPr>
        <w:t xml:space="preserve">Organisation des Nations Unies chargée de mettre en œuvre les dispositions nécessaires avec tout </w:t>
      </w:r>
      <w:r>
        <w:rPr>
          <w:lang w:val="fr-FR"/>
        </w:rPr>
        <w:t>o</w:t>
      </w:r>
      <w:r w:rsidRPr="00200E3E">
        <w:rPr>
          <w:lang w:val="fr-FR"/>
        </w:rPr>
        <w:t xml:space="preserve">rganisateur ou </w:t>
      </w:r>
      <w:r>
        <w:rPr>
          <w:lang w:val="fr-FR"/>
        </w:rPr>
        <w:t>c</w:t>
      </w:r>
      <w:r w:rsidRPr="00200E3E">
        <w:rPr>
          <w:lang w:val="fr-FR"/>
        </w:rPr>
        <w:t>oorganisateur et l</w:t>
      </w:r>
      <w:r w:rsidR="00F23D9E">
        <w:rPr>
          <w:lang w:val="fr-FR"/>
        </w:rPr>
        <w:t>’</w:t>
      </w:r>
      <w:r w:rsidRPr="00200E3E">
        <w:rPr>
          <w:lang w:val="fr-FR"/>
        </w:rPr>
        <w:t>entité chargée de la gestion, telle qu</w:t>
      </w:r>
      <w:r w:rsidR="00F23D9E">
        <w:rPr>
          <w:lang w:val="fr-FR"/>
        </w:rPr>
        <w:t>’</w:t>
      </w:r>
      <w:r w:rsidRPr="00200E3E">
        <w:rPr>
          <w:lang w:val="fr-FR"/>
        </w:rPr>
        <w:t>elle est définie ci-après. Au titre de la présente instruction</w:t>
      </w:r>
      <w:r>
        <w:rPr>
          <w:lang w:val="fr-FR"/>
        </w:rPr>
        <w:t xml:space="preserve"> administrative</w:t>
      </w:r>
      <w:r w:rsidRPr="00200E3E">
        <w:rPr>
          <w:lang w:val="fr-FR"/>
        </w:rPr>
        <w:t>, le Comité des loisirs du personnel de l</w:t>
      </w:r>
      <w:r w:rsidR="00F23D9E">
        <w:rPr>
          <w:lang w:val="fr-FR"/>
        </w:rPr>
        <w:t>’</w:t>
      </w:r>
      <w:r w:rsidRPr="00200E3E">
        <w:rPr>
          <w:lang w:val="fr-FR"/>
        </w:rPr>
        <w:t xml:space="preserve">ONU à New York et le Syndicat du personnel de </w:t>
      </w:r>
      <w:r w:rsidRPr="00200E3E">
        <w:rPr>
          <w:lang w:val="fr-FR"/>
        </w:rPr>
        <w:lastRenderedPageBreak/>
        <w:t>l</w:t>
      </w:r>
      <w:r w:rsidR="00F23D9E">
        <w:rPr>
          <w:lang w:val="fr-FR"/>
        </w:rPr>
        <w:t>’</w:t>
      </w:r>
      <w:r w:rsidRPr="00200E3E">
        <w:rPr>
          <w:lang w:val="fr-FR"/>
        </w:rPr>
        <w:t xml:space="preserve">Organisation des Nations Unies à New York ont le même statut fonctionnel que les </w:t>
      </w:r>
      <w:r>
        <w:rPr>
          <w:lang w:val="fr-FR"/>
        </w:rPr>
        <w:t>e</w:t>
      </w:r>
      <w:r w:rsidRPr="00200E3E">
        <w:rPr>
          <w:lang w:val="fr-FR"/>
        </w:rPr>
        <w:t xml:space="preserve">ntités des Nations Unies </w:t>
      </w:r>
      <w:r w:rsidRPr="001D52C2">
        <w:rPr>
          <w:lang w:val="fr-FR"/>
        </w:rPr>
        <w:t>partenaires</w:t>
      </w:r>
      <w:r w:rsidR="00F23D9E">
        <w:rPr>
          <w:lang w:val="fr-FR"/>
        </w:rPr>
        <w:t> ;</w:t>
      </w:r>
    </w:p>
    <w:p w14:paraId="78F78AA0" w14:textId="4B64FDB5" w:rsidR="0090756B" w:rsidRPr="00200E3E" w:rsidRDefault="0090756B" w:rsidP="0090756B">
      <w:pPr>
        <w:pStyle w:val="SingleTxt"/>
        <w:rPr>
          <w:lang w:val="fr-FR"/>
        </w:rPr>
      </w:pPr>
      <w:r>
        <w:rPr>
          <w:lang w:val="fr-FR"/>
        </w:rPr>
        <w:tab/>
        <w:t>e)</w:t>
      </w:r>
      <w:r>
        <w:rPr>
          <w:lang w:val="fr-FR"/>
        </w:rPr>
        <w:tab/>
        <w:t>« </w:t>
      </w:r>
      <w:r w:rsidRPr="00200E3E">
        <w:rPr>
          <w:lang w:val="fr-FR"/>
        </w:rPr>
        <w:t>Chargé</w:t>
      </w:r>
      <w:r>
        <w:rPr>
          <w:lang w:val="fr-FR"/>
        </w:rPr>
        <w:t>(e)</w:t>
      </w:r>
      <w:r w:rsidRPr="00200E3E">
        <w:rPr>
          <w:lang w:val="fr-FR"/>
        </w:rPr>
        <w:t xml:space="preserve"> de liaison</w:t>
      </w:r>
      <w:r>
        <w:rPr>
          <w:lang w:val="fr-FR"/>
        </w:rPr>
        <w:t> »</w:t>
      </w:r>
      <w:r w:rsidRPr="00200E3E">
        <w:rPr>
          <w:lang w:val="fr-FR"/>
        </w:rPr>
        <w:t xml:space="preserve"> s</w:t>
      </w:r>
      <w:r w:rsidR="00F23D9E">
        <w:rPr>
          <w:lang w:val="fr-FR"/>
        </w:rPr>
        <w:t>’</w:t>
      </w:r>
      <w:r w:rsidRPr="00200E3E">
        <w:rPr>
          <w:lang w:val="fr-FR"/>
        </w:rPr>
        <w:t>entend de tout</w:t>
      </w:r>
      <w:r>
        <w:rPr>
          <w:lang w:val="fr-FR"/>
        </w:rPr>
        <w:t>(e)</w:t>
      </w:r>
      <w:r w:rsidRPr="00200E3E">
        <w:rPr>
          <w:lang w:val="fr-FR"/>
        </w:rPr>
        <w:t xml:space="preserve"> représentant</w:t>
      </w:r>
      <w:r>
        <w:rPr>
          <w:lang w:val="fr-FR"/>
        </w:rPr>
        <w:t>(e)</w:t>
      </w:r>
      <w:r w:rsidRPr="00200E3E">
        <w:rPr>
          <w:lang w:val="fr-FR"/>
        </w:rPr>
        <w:t xml:space="preserve"> d</w:t>
      </w:r>
      <w:r>
        <w:rPr>
          <w:lang w:val="fr-FR"/>
        </w:rPr>
        <w:t xml:space="preserve">e </w:t>
      </w:r>
      <w:r w:rsidRPr="001D52C2">
        <w:rPr>
          <w:lang w:val="fr-FR"/>
        </w:rPr>
        <w:t>l</w:t>
      </w:r>
      <w:r w:rsidR="00F23D9E">
        <w:rPr>
          <w:lang w:val="fr-FR"/>
        </w:rPr>
        <w:t>’</w:t>
      </w:r>
      <w:r w:rsidRPr="001D52C2">
        <w:rPr>
          <w:lang w:val="fr-FR"/>
        </w:rPr>
        <w:t>entité partenaire</w:t>
      </w:r>
      <w:r w:rsidRPr="00200E3E">
        <w:rPr>
          <w:lang w:val="fr-FR"/>
        </w:rPr>
        <w:t xml:space="preserve"> </w:t>
      </w:r>
      <w:r>
        <w:rPr>
          <w:lang w:val="fr-FR"/>
        </w:rPr>
        <w:t>à qui il incombe</w:t>
      </w:r>
      <w:r w:rsidRPr="00200E3E">
        <w:rPr>
          <w:lang w:val="fr-FR"/>
        </w:rPr>
        <w:t xml:space="preserve"> d</w:t>
      </w:r>
      <w:r w:rsidR="00F23D9E">
        <w:rPr>
          <w:lang w:val="fr-FR"/>
        </w:rPr>
        <w:t>’</w:t>
      </w:r>
      <w:r w:rsidRPr="00200E3E">
        <w:rPr>
          <w:lang w:val="fr-FR"/>
        </w:rPr>
        <w:t>assurer la coordination avec l</w:t>
      </w:r>
      <w:r w:rsidR="00F23D9E">
        <w:rPr>
          <w:lang w:val="fr-FR"/>
        </w:rPr>
        <w:t>’</w:t>
      </w:r>
      <w:r>
        <w:rPr>
          <w:lang w:val="fr-FR"/>
        </w:rPr>
        <w:t>e</w:t>
      </w:r>
      <w:r w:rsidRPr="00200E3E">
        <w:rPr>
          <w:lang w:val="fr-FR"/>
        </w:rPr>
        <w:t>ntité chargée de la gestion</w:t>
      </w:r>
      <w:r w:rsidR="00F23D9E">
        <w:rPr>
          <w:lang w:val="fr-FR"/>
        </w:rPr>
        <w:t> ;</w:t>
      </w:r>
    </w:p>
    <w:p w14:paraId="4B8E09D2" w14:textId="6A4AAE29" w:rsidR="0090756B" w:rsidRPr="00200E3E" w:rsidRDefault="0090756B" w:rsidP="0090756B">
      <w:pPr>
        <w:pStyle w:val="SingleTxt"/>
        <w:rPr>
          <w:lang w:val="fr-FR"/>
        </w:rPr>
      </w:pPr>
      <w:r>
        <w:rPr>
          <w:lang w:val="fr-FR"/>
        </w:rPr>
        <w:tab/>
        <w:t>f)</w:t>
      </w:r>
      <w:r>
        <w:rPr>
          <w:lang w:val="fr-FR"/>
        </w:rPr>
        <w:tab/>
        <w:t>« </w:t>
      </w:r>
      <w:r w:rsidRPr="00200E3E">
        <w:rPr>
          <w:lang w:val="fr-FR"/>
        </w:rPr>
        <w:t>Entité chargée de la gestion</w:t>
      </w:r>
      <w:r>
        <w:rPr>
          <w:lang w:val="fr-FR"/>
        </w:rPr>
        <w:t> »</w:t>
      </w:r>
      <w:r w:rsidRPr="00200E3E">
        <w:rPr>
          <w:lang w:val="fr-FR"/>
        </w:rPr>
        <w:t xml:space="preserve"> s</w:t>
      </w:r>
      <w:r w:rsidR="00F23D9E">
        <w:rPr>
          <w:lang w:val="fr-FR"/>
        </w:rPr>
        <w:t>’</w:t>
      </w:r>
      <w:r w:rsidRPr="00200E3E">
        <w:rPr>
          <w:lang w:val="fr-FR"/>
        </w:rPr>
        <w:t>entend de l</w:t>
      </w:r>
      <w:r w:rsidR="00F23D9E">
        <w:rPr>
          <w:lang w:val="fr-FR"/>
        </w:rPr>
        <w:t>’</w:t>
      </w:r>
      <w:r>
        <w:rPr>
          <w:lang w:val="fr-FR"/>
        </w:rPr>
        <w:t>e</w:t>
      </w:r>
      <w:r w:rsidRPr="00200E3E">
        <w:rPr>
          <w:lang w:val="fr-FR"/>
        </w:rPr>
        <w:t xml:space="preserve">ntité des Nations Unies chargée de gérer les demandes de réservation et de prévoir un espace précis </w:t>
      </w:r>
      <w:r>
        <w:rPr>
          <w:lang w:val="fr-FR"/>
        </w:rPr>
        <w:t>dans les locaux de l</w:t>
      </w:r>
      <w:r w:rsidR="00F23D9E">
        <w:rPr>
          <w:lang w:val="fr-FR"/>
        </w:rPr>
        <w:t>’</w:t>
      </w:r>
      <w:r>
        <w:rPr>
          <w:lang w:val="fr-FR"/>
        </w:rPr>
        <w:t>ONU</w:t>
      </w:r>
      <w:r w:rsidRPr="00200E3E">
        <w:rPr>
          <w:lang w:val="fr-FR"/>
        </w:rPr>
        <w:t xml:space="preserve"> pour les réunions, conférences, manifestations </w:t>
      </w:r>
      <w:r>
        <w:rPr>
          <w:lang w:val="fr-FR"/>
        </w:rPr>
        <w:t>et</w:t>
      </w:r>
      <w:r w:rsidRPr="00200E3E">
        <w:rPr>
          <w:lang w:val="fr-FR"/>
        </w:rPr>
        <w:t xml:space="preserve"> expositions</w:t>
      </w:r>
      <w:r w:rsidRPr="0090756B">
        <w:rPr>
          <w:rStyle w:val="FootnoteReference"/>
          <w:lang w:val="fr-FR"/>
        </w:rPr>
        <w:footnoteReference w:id="1"/>
      </w:r>
      <w:r w:rsidRPr="00200E3E">
        <w:rPr>
          <w:lang w:val="fr-FR"/>
        </w:rPr>
        <w:t>.</w:t>
      </w:r>
    </w:p>
    <w:p w14:paraId="231B9422" w14:textId="77777777" w:rsidR="0090756B" w:rsidRPr="00200E3E" w:rsidRDefault="0090756B" w:rsidP="0090756B">
      <w:pPr>
        <w:pStyle w:val="SingleTxt"/>
        <w:spacing w:after="0" w:line="120" w:lineRule="exact"/>
        <w:rPr>
          <w:sz w:val="10"/>
          <w:lang w:val="fr-FR"/>
        </w:rPr>
      </w:pPr>
    </w:p>
    <w:p w14:paraId="740EA3D5"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3</w:t>
      </w:r>
    </w:p>
    <w:p w14:paraId="70B00728"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Entités chargées de la gestion</w:t>
      </w:r>
    </w:p>
    <w:p w14:paraId="2C0F6F36" w14:textId="77777777" w:rsidR="0090756B" w:rsidRPr="00200E3E" w:rsidRDefault="0090756B" w:rsidP="0090756B">
      <w:pPr>
        <w:pStyle w:val="SingleTxt"/>
        <w:spacing w:after="0" w:line="120" w:lineRule="exact"/>
        <w:rPr>
          <w:sz w:val="10"/>
          <w:lang w:val="fr-FR"/>
        </w:rPr>
      </w:pPr>
    </w:p>
    <w:p w14:paraId="672A30D3" w14:textId="3FD42D68" w:rsidR="0090756B" w:rsidRPr="00200E3E" w:rsidRDefault="0090756B" w:rsidP="00250B68">
      <w:pPr>
        <w:pStyle w:val="SingleTxt"/>
        <w:numPr>
          <w:ilvl w:val="0"/>
          <w:numId w:val="20"/>
        </w:numPr>
        <w:rPr>
          <w:lang w:val="fr-FR"/>
        </w:rPr>
      </w:pPr>
      <w:r w:rsidRPr="00200E3E">
        <w:rPr>
          <w:lang w:val="fr-FR"/>
        </w:rPr>
        <w:t>Les espaces utilisés pour les réunions, conférences, manifestations et expositions sont gérés par différentes entités du Siège</w:t>
      </w:r>
      <w:r w:rsidR="00F23D9E">
        <w:rPr>
          <w:lang w:val="fr-FR"/>
        </w:rPr>
        <w:t> :</w:t>
      </w:r>
    </w:p>
    <w:p w14:paraId="589FF00F" w14:textId="6C0BCEE1" w:rsidR="0090756B" w:rsidRPr="00200E3E" w:rsidRDefault="0090756B" w:rsidP="0090756B">
      <w:pPr>
        <w:pStyle w:val="SingleTxt"/>
        <w:rPr>
          <w:lang w:val="fr-FR"/>
        </w:rPr>
      </w:pPr>
      <w:r>
        <w:rPr>
          <w:lang w:val="fr-FR"/>
        </w:rPr>
        <w:tab/>
        <w:t>a)</w:t>
      </w:r>
      <w:r>
        <w:rPr>
          <w:lang w:val="fr-FR"/>
        </w:rPr>
        <w:tab/>
      </w:r>
      <w:r w:rsidRPr="00200E3E">
        <w:rPr>
          <w:lang w:val="fr-FR"/>
        </w:rPr>
        <w:t>Les installations de conférence sont gérées par le Département de l</w:t>
      </w:r>
      <w:r w:rsidR="00F23D9E">
        <w:rPr>
          <w:lang w:val="fr-FR"/>
        </w:rPr>
        <w:t>’</w:t>
      </w:r>
      <w:r w:rsidRPr="00200E3E">
        <w:rPr>
          <w:lang w:val="fr-FR"/>
        </w:rPr>
        <w:t>Assemblée générale et de la gestion des conférences</w:t>
      </w:r>
      <w:r w:rsidR="00F23D9E">
        <w:rPr>
          <w:lang w:val="fr-FR"/>
        </w:rPr>
        <w:t> ;</w:t>
      </w:r>
    </w:p>
    <w:p w14:paraId="0AC94E63" w14:textId="26B9FECD" w:rsidR="0090756B" w:rsidRPr="00200E3E" w:rsidRDefault="0090756B" w:rsidP="0090756B">
      <w:pPr>
        <w:pStyle w:val="SingleTxt"/>
        <w:rPr>
          <w:lang w:val="fr-FR"/>
        </w:rPr>
      </w:pPr>
      <w:r>
        <w:rPr>
          <w:lang w:val="fr-FR"/>
        </w:rPr>
        <w:tab/>
        <w:t>b)</w:t>
      </w:r>
      <w:r>
        <w:rPr>
          <w:lang w:val="fr-FR"/>
        </w:rPr>
        <w:tab/>
      </w:r>
      <w:r w:rsidRPr="00200E3E">
        <w:rPr>
          <w:lang w:val="fr-FR"/>
        </w:rPr>
        <w:t xml:space="preserve">Les </w:t>
      </w:r>
      <w:r>
        <w:rPr>
          <w:lang w:val="fr-FR"/>
        </w:rPr>
        <w:t>espaces</w:t>
      </w:r>
      <w:r w:rsidRPr="00200E3E">
        <w:rPr>
          <w:lang w:val="fr-FR"/>
        </w:rPr>
        <w:t xml:space="preserve"> d</w:t>
      </w:r>
      <w:r w:rsidR="00F23D9E">
        <w:rPr>
          <w:lang w:val="fr-FR"/>
        </w:rPr>
        <w:t>’</w:t>
      </w:r>
      <w:r w:rsidRPr="00200E3E">
        <w:rPr>
          <w:lang w:val="fr-FR"/>
        </w:rPr>
        <w:t>exposition</w:t>
      </w:r>
      <w:r>
        <w:rPr>
          <w:lang w:val="fr-FR"/>
        </w:rPr>
        <w:t xml:space="preserve"> accessibles au public</w:t>
      </w:r>
      <w:r w:rsidRPr="0090756B">
        <w:rPr>
          <w:rStyle w:val="FootnoteReference"/>
          <w:lang w:val="fr-FR"/>
        </w:rPr>
        <w:footnoteReference w:id="2"/>
      </w:r>
      <w:r w:rsidRPr="00200E3E">
        <w:rPr>
          <w:lang w:val="fr-FR"/>
        </w:rPr>
        <w:t xml:space="preserve"> sont gérés par le Comité des expositions</w:t>
      </w:r>
      <w:r w:rsidR="00F23D9E">
        <w:rPr>
          <w:lang w:val="fr-FR"/>
        </w:rPr>
        <w:t> ;</w:t>
      </w:r>
    </w:p>
    <w:p w14:paraId="67D0E4C2" w14:textId="2B5B2FEB" w:rsidR="0090756B" w:rsidRPr="00200E3E" w:rsidRDefault="0090756B" w:rsidP="0090756B">
      <w:pPr>
        <w:pStyle w:val="SingleTxt"/>
        <w:rPr>
          <w:lang w:val="fr-FR"/>
        </w:rPr>
      </w:pPr>
      <w:r>
        <w:rPr>
          <w:lang w:val="fr-FR"/>
        </w:rPr>
        <w:tab/>
        <w:t>c)</w:t>
      </w:r>
      <w:r>
        <w:rPr>
          <w:lang w:val="fr-FR"/>
        </w:rPr>
        <w:tab/>
      </w:r>
      <w:r w:rsidRPr="00200E3E">
        <w:rPr>
          <w:lang w:val="fr-FR"/>
        </w:rPr>
        <w:t>Les salles de réunions et les espaces attribués à certaines entités particulières sont gérés par lesdites entités</w:t>
      </w:r>
      <w:r w:rsidR="00F23D9E">
        <w:rPr>
          <w:lang w:val="fr-FR"/>
        </w:rPr>
        <w:t> ;</w:t>
      </w:r>
    </w:p>
    <w:p w14:paraId="53E4DA8A" w14:textId="1C1AC0BC" w:rsidR="0090756B" w:rsidRPr="00200E3E" w:rsidRDefault="0090756B" w:rsidP="0090756B">
      <w:pPr>
        <w:pStyle w:val="SingleTxt"/>
        <w:rPr>
          <w:lang w:val="fr-FR"/>
        </w:rPr>
      </w:pPr>
      <w:r>
        <w:rPr>
          <w:lang w:val="fr-FR"/>
        </w:rPr>
        <w:tab/>
        <w:t>d)</w:t>
      </w:r>
      <w:r>
        <w:rPr>
          <w:lang w:val="fr-FR"/>
        </w:rPr>
        <w:tab/>
      </w:r>
      <w:r w:rsidRPr="00200E3E">
        <w:rPr>
          <w:lang w:val="fr-FR"/>
        </w:rPr>
        <w:t>Tout autre espace est géré par la Division de l</w:t>
      </w:r>
      <w:r w:rsidR="00F23D9E">
        <w:rPr>
          <w:lang w:val="fr-FR"/>
        </w:rPr>
        <w:t>’</w:t>
      </w:r>
      <w:r w:rsidRPr="00200E3E">
        <w:rPr>
          <w:lang w:val="fr-FR"/>
        </w:rPr>
        <w:t>administration du Département de l</w:t>
      </w:r>
      <w:r w:rsidR="00F23D9E">
        <w:rPr>
          <w:lang w:val="fr-FR"/>
        </w:rPr>
        <w:t>’</w:t>
      </w:r>
      <w:r w:rsidRPr="00200E3E">
        <w:rPr>
          <w:lang w:val="fr-FR"/>
        </w:rPr>
        <w:t>appui opérationnel.</w:t>
      </w:r>
    </w:p>
    <w:p w14:paraId="0DA0C7D6" w14:textId="24F79D92" w:rsidR="0090756B" w:rsidRPr="00200E3E" w:rsidRDefault="0090756B" w:rsidP="00250B68">
      <w:pPr>
        <w:pStyle w:val="SingleTxt"/>
        <w:numPr>
          <w:ilvl w:val="0"/>
          <w:numId w:val="20"/>
        </w:numPr>
        <w:spacing w:line="240" w:lineRule="exact"/>
        <w:rPr>
          <w:lang w:val="fr-FR"/>
        </w:rPr>
      </w:pPr>
      <w:r w:rsidRPr="00200E3E">
        <w:rPr>
          <w:lang w:val="fr-FR"/>
        </w:rPr>
        <w:t>Les installations et services de conférence du Siège de l</w:t>
      </w:r>
      <w:r w:rsidR="00F23D9E">
        <w:rPr>
          <w:lang w:val="fr-FR"/>
        </w:rPr>
        <w:t>’</w:t>
      </w:r>
      <w:r w:rsidRPr="00200E3E">
        <w:rPr>
          <w:lang w:val="fr-FR"/>
        </w:rPr>
        <w:t>ONU sont destinés avant tout aux réunions et conférences que prévoit le calendrier des conférences</w:t>
      </w:r>
      <w:r>
        <w:rPr>
          <w:lang w:val="fr-FR"/>
        </w:rPr>
        <w:t>, aux</w:t>
      </w:r>
      <w:r w:rsidRPr="00200E3E">
        <w:rPr>
          <w:lang w:val="fr-FR"/>
        </w:rPr>
        <w:t xml:space="preserve"> réunions approuvé</w:t>
      </w:r>
      <w:r>
        <w:rPr>
          <w:lang w:val="fr-FR"/>
        </w:rPr>
        <w:t>es</w:t>
      </w:r>
      <w:r w:rsidRPr="00200E3E">
        <w:rPr>
          <w:lang w:val="fr-FR"/>
        </w:rPr>
        <w:t xml:space="preserve"> par l</w:t>
      </w:r>
      <w:r w:rsidR="00F23D9E">
        <w:rPr>
          <w:lang w:val="fr-FR"/>
        </w:rPr>
        <w:t>’</w:t>
      </w:r>
      <w:r w:rsidRPr="00200E3E">
        <w:rPr>
          <w:lang w:val="fr-FR"/>
        </w:rPr>
        <w:t>Assemblée générale et, en fonction des disponibilités, aux réunions de groupes régionaux ou autres groupes établis d</w:t>
      </w:r>
      <w:r w:rsidR="00F23D9E">
        <w:rPr>
          <w:lang w:val="fr-FR"/>
        </w:rPr>
        <w:t>’</w:t>
      </w:r>
      <w:r w:rsidRPr="00200E3E">
        <w:rPr>
          <w:lang w:val="fr-FR"/>
        </w:rPr>
        <w:t>États Membres, à la demande de la présidence du groupe concerné et conformément à la procédure établie.</w:t>
      </w:r>
    </w:p>
    <w:p w14:paraId="6C1F1F34" w14:textId="4A64B6F3" w:rsidR="0090756B" w:rsidRPr="00200E3E" w:rsidRDefault="0090756B" w:rsidP="00250B68">
      <w:pPr>
        <w:pStyle w:val="SingleTxt"/>
        <w:numPr>
          <w:ilvl w:val="0"/>
          <w:numId w:val="20"/>
        </w:numPr>
        <w:spacing w:line="240" w:lineRule="exact"/>
        <w:rPr>
          <w:lang w:val="fr-FR"/>
        </w:rPr>
      </w:pPr>
      <w:r w:rsidRPr="00200E3E">
        <w:rPr>
          <w:lang w:val="fr-FR"/>
        </w:rPr>
        <w:t>Des instructions et procédures particulières, notamment un code de conduite régissant le dépôt des demandes et l</w:t>
      </w:r>
      <w:r w:rsidR="00F23D9E">
        <w:rPr>
          <w:lang w:val="fr-FR"/>
        </w:rPr>
        <w:t>’</w:t>
      </w:r>
      <w:r w:rsidRPr="00200E3E">
        <w:rPr>
          <w:lang w:val="fr-FR"/>
        </w:rPr>
        <w:t>organisation et la tenue de réunions, conférences et manifestations dans les salles de conférence du Siège, peuvent être publiées par le Secrétaire général adjoint chargé du Département de l</w:t>
      </w:r>
      <w:r w:rsidR="00F23D9E">
        <w:rPr>
          <w:lang w:val="fr-FR"/>
        </w:rPr>
        <w:t>’</w:t>
      </w:r>
      <w:r w:rsidRPr="00200E3E">
        <w:rPr>
          <w:lang w:val="fr-FR"/>
        </w:rPr>
        <w:t>Assemblée générale et de la gestion des conférences.</w:t>
      </w:r>
    </w:p>
    <w:p w14:paraId="00FCEC28" w14:textId="14CB6FB8" w:rsidR="0090756B" w:rsidRPr="00200E3E" w:rsidRDefault="0090756B" w:rsidP="00250B68">
      <w:pPr>
        <w:pStyle w:val="SingleTxt"/>
        <w:numPr>
          <w:ilvl w:val="0"/>
          <w:numId w:val="20"/>
        </w:numPr>
        <w:spacing w:line="240" w:lineRule="exact"/>
        <w:rPr>
          <w:lang w:val="fr-FR"/>
        </w:rPr>
      </w:pPr>
      <w:r>
        <w:rPr>
          <w:lang w:val="fr-FR"/>
        </w:rPr>
        <w:t>Toute</w:t>
      </w:r>
      <w:r w:rsidRPr="00200E3E">
        <w:rPr>
          <w:lang w:val="fr-FR"/>
        </w:rPr>
        <w:t xml:space="preserve"> exposition </w:t>
      </w:r>
      <w:r>
        <w:rPr>
          <w:lang w:val="fr-FR"/>
        </w:rPr>
        <w:t xml:space="preserve">organisée </w:t>
      </w:r>
      <w:r w:rsidRPr="00200E3E">
        <w:rPr>
          <w:lang w:val="fr-FR"/>
        </w:rPr>
        <w:t xml:space="preserve">dans </w:t>
      </w:r>
      <w:r>
        <w:rPr>
          <w:lang w:val="fr-FR"/>
        </w:rPr>
        <w:t>l</w:t>
      </w:r>
      <w:r w:rsidRPr="00200E3E">
        <w:rPr>
          <w:lang w:val="fr-FR"/>
        </w:rPr>
        <w:t xml:space="preserve">es </w:t>
      </w:r>
      <w:r>
        <w:rPr>
          <w:lang w:val="fr-FR"/>
        </w:rPr>
        <w:t>espaces d</w:t>
      </w:r>
      <w:r w:rsidR="00F23D9E">
        <w:rPr>
          <w:lang w:val="fr-FR"/>
        </w:rPr>
        <w:t>’</w:t>
      </w:r>
      <w:r>
        <w:rPr>
          <w:lang w:val="fr-FR"/>
        </w:rPr>
        <w:t>exposition du Siège accessibles au public</w:t>
      </w:r>
      <w:r w:rsidRPr="00200E3E">
        <w:rPr>
          <w:lang w:val="fr-FR"/>
        </w:rPr>
        <w:t xml:space="preserve"> </w:t>
      </w:r>
      <w:r>
        <w:rPr>
          <w:lang w:val="fr-FR"/>
        </w:rPr>
        <w:t>e</w:t>
      </w:r>
      <w:r w:rsidRPr="00200E3E">
        <w:rPr>
          <w:lang w:val="fr-FR"/>
        </w:rPr>
        <w:t>st soumise à l</w:t>
      </w:r>
      <w:r w:rsidR="00F23D9E">
        <w:rPr>
          <w:lang w:val="fr-FR"/>
        </w:rPr>
        <w:t>’</w:t>
      </w:r>
      <w:r w:rsidRPr="00200E3E">
        <w:rPr>
          <w:lang w:val="fr-FR"/>
        </w:rPr>
        <w:t>examen et à l</w:t>
      </w:r>
      <w:r w:rsidR="00F23D9E">
        <w:rPr>
          <w:lang w:val="fr-FR"/>
        </w:rPr>
        <w:t>’</w:t>
      </w:r>
      <w:r w:rsidRPr="00200E3E">
        <w:rPr>
          <w:lang w:val="fr-FR"/>
        </w:rPr>
        <w:t xml:space="preserve">approbation du Comité des expositions, conformément aux directives et procédures définies dans la circulaire du Secrétaire général </w:t>
      </w:r>
      <w:r>
        <w:rPr>
          <w:lang w:val="fr-FR"/>
        </w:rPr>
        <w:t xml:space="preserve">relative au </w:t>
      </w:r>
      <w:r w:rsidRPr="00200E3E">
        <w:rPr>
          <w:lang w:val="fr-FR"/>
        </w:rPr>
        <w:t>Comité</w:t>
      </w:r>
      <w:r w:rsidRPr="0090756B">
        <w:rPr>
          <w:rStyle w:val="FootnoteReference"/>
          <w:lang w:val="fr-FR"/>
        </w:rPr>
        <w:footnoteReference w:id="3"/>
      </w:r>
      <w:r w:rsidRPr="00200E3E">
        <w:rPr>
          <w:lang w:val="fr-FR"/>
        </w:rPr>
        <w:t xml:space="preserve"> et </w:t>
      </w:r>
      <w:r>
        <w:rPr>
          <w:lang w:val="fr-FR"/>
        </w:rPr>
        <w:t xml:space="preserve">dans </w:t>
      </w:r>
      <w:r w:rsidRPr="00200E3E">
        <w:rPr>
          <w:lang w:val="fr-FR"/>
        </w:rPr>
        <w:t>l</w:t>
      </w:r>
      <w:r w:rsidR="00F23D9E">
        <w:rPr>
          <w:lang w:val="fr-FR"/>
        </w:rPr>
        <w:t>’</w:t>
      </w:r>
      <w:r w:rsidRPr="00200E3E">
        <w:rPr>
          <w:lang w:val="fr-FR"/>
        </w:rPr>
        <w:t>instruction administrative sur les expositions organisées dans les espaces du Siège accessibles au public</w:t>
      </w:r>
      <w:r w:rsidRPr="0090756B">
        <w:rPr>
          <w:rStyle w:val="FootnoteReference"/>
          <w:lang w:val="fr-FR"/>
        </w:rPr>
        <w:footnoteReference w:id="4"/>
      </w:r>
      <w:r w:rsidRPr="00200E3E">
        <w:rPr>
          <w:lang w:val="fr-FR"/>
        </w:rPr>
        <w:t>.</w:t>
      </w:r>
    </w:p>
    <w:p w14:paraId="01FC5B21" w14:textId="5B89A322" w:rsidR="0090756B" w:rsidRPr="00200E3E" w:rsidRDefault="0090756B" w:rsidP="00250B68">
      <w:pPr>
        <w:pStyle w:val="SingleTxt"/>
        <w:numPr>
          <w:ilvl w:val="0"/>
          <w:numId w:val="20"/>
        </w:numPr>
        <w:spacing w:line="240" w:lineRule="exact"/>
        <w:rPr>
          <w:lang w:val="fr-FR"/>
        </w:rPr>
      </w:pPr>
      <w:r w:rsidRPr="001D52C2">
        <w:rPr>
          <w:lang w:val="fr-FR"/>
        </w:rPr>
        <w:t>Certains espaces</w:t>
      </w:r>
      <w:r w:rsidRPr="00200E3E">
        <w:rPr>
          <w:lang w:val="fr-FR"/>
        </w:rPr>
        <w:t xml:space="preserve"> des locaux de l</w:t>
      </w:r>
      <w:r w:rsidR="00F23D9E">
        <w:rPr>
          <w:lang w:val="fr-FR"/>
        </w:rPr>
        <w:t>’</w:t>
      </w:r>
      <w:r w:rsidRPr="00200E3E">
        <w:rPr>
          <w:lang w:val="fr-FR"/>
        </w:rPr>
        <w:t>O</w:t>
      </w:r>
      <w:r>
        <w:rPr>
          <w:lang w:val="fr-FR"/>
        </w:rPr>
        <w:t xml:space="preserve">NU sont gérés par des </w:t>
      </w:r>
      <w:r w:rsidRPr="00200E3E">
        <w:rPr>
          <w:lang w:val="fr-FR"/>
        </w:rPr>
        <w:t>entités particulières, conformément aux procédures définies par lesdites entités à l</w:t>
      </w:r>
      <w:r w:rsidR="00F23D9E">
        <w:rPr>
          <w:lang w:val="fr-FR"/>
        </w:rPr>
        <w:t>’</w:t>
      </w:r>
      <w:r w:rsidRPr="00200E3E">
        <w:rPr>
          <w:lang w:val="fr-FR"/>
        </w:rPr>
        <w:t>appui de leurs mandats respectifs.</w:t>
      </w:r>
    </w:p>
    <w:p w14:paraId="4940B4FD" w14:textId="1C325723" w:rsidR="0090756B" w:rsidRPr="00200E3E" w:rsidRDefault="0090756B" w:rsidP="00250B68">
      <w:pPr>
        <w:pStyle w:val="SingleTxt"/>
        <w:numPr>
          <w:ilvl w:val="0"/>
          <w:numId w:val="20"/>
        </w:numPr>
        <w:spacing w:line="240" w:lineRule="exact"/>
        <w:rPr>
          <w:lang w:val="fr-FR"/>
        </w:rPr>
      </w:pPr>
      <w:r w:rsidRPr="00200E3E">
        <w:rPr>
          <w:lang w:val="fr-FR"/>
        </w:rPr>
        <w:t>Des instructions et procédures précises, notamment un code de conduite régissant le dépôt des demandes et l</w:t>
      </w:r>
      <w:r w:rsidR="00F23D9E">
        <w:rPr>
          <w:lang w:val="fr-FR"/>
        </w:rPr>
        <w:t>’</w:t>
      </w:r>
      <w:r w:rsidRPr="00200E3E">
        <w:rPr>
          <w:lang w:val="fr-FR"/>
        </w:rPr>
        <w:t xml:space="preserve">organisation et la tenue de réunions, conférences, </w:t>
      </w:r>
      <w:r w:rsidRPr="00200E3E">
        <w:rPr>
          <w:lang w:val="fr-FR"/>
        </w:rPr>
        <w:lastRenderedPageBreak/>
        <w:t xml:space="preserve">manifestations et expositions </w:t>
      </w:r>
      <w:r>
        <w:rPr>
          <w:lang w:val="fr-FR"/>
        </w:rPr>
        <w:t>en</w:t>
      </w:r>
      <w:r w:rsidRPr="00200E3E">
        <w:rPr>
          <w:lang w:val="fr-FR"/>
        </w:rPr>
        <w:t xml:space="preserve"> d</w:t>
      </w:r>
      <w:r w:rsidR="00F23D9E">
        <w:rPr>
          <w:lang w:val="fr-FR"/>
        </w:rPr>
        <w:t>’</w:t>
      </w:r>
      <w:r w:rsidRPr="00200E3E">
        <w:rPr>
          <w:lang w:val="fr-FR"/>
        </w:rPr>
        <w:t>autres endroits du Siège, y compris</w:t>
      </w:r>
      <w:r>
        <w:rPr>
          <w:lang w:val="fr-FR"/>
        </w:rPr>
        <w:t xml:space="preserve"> dans</w:t>
      </w:r>
      <w:r w:rsidRPr="00200E3E">
        <w:rPr>
          <w:lang w:val="fr-FR"/>
        </w:rPr>
        <w:t xml:space="preserve"> les salles de réunion du Secrétariat et les </w:t>
      </w:r>
      <w:r w:rsidRPr="001D52C2">
        <w:rPr>
          <w:lang w:val="fr-FR"/>
        </w:rPr>
        <w:t xml:space="preserve">espaces </w:t>
      </w:r>
      <w:r>
        <w:rPr>
          <w:lang w:val="fr-FR"/>
        </w:rPr>
        <w:t>destinés à</w:t>
      </w:r>
      <w:r w:rsidRPr="001D52C2">
        <w:rPr>
          <w:lang w:val="fr-FR"/>
        </w:rPr>
        <w:t xml:space="preserve"> la restauration</w:t>
      </w:r>
      <w:r w:rsidRPr="00200E3E">
        <w:rPr>
          <w:lang w:val="fr-FR"/>
        </w:rPr>
        <w:t xml:space="preserve">, peuvent être publiées </w:t>
      </w:r>
      <w:r>
        <w:rPr>
          <w:lang w:val="fr-FR"/>
        </w:rPr>
        <w:t>s</w:t>
      </w:r>
      <w:r w:rsidR="00F23D9E">
        <w:rPr>
          <w:lang w:val="fr-FR"/>
        </w:rPr>
        <w:t>’</w:t>
      </w:r>
      <w:r>
        <w:rPr>
          <w:lang w:val="fr-FR"/>
        </w:rPr>
        <w:t>il y a lieu</w:t>
      </w:r>
      <w:r w:rsidRPr="00200E3E">
        <w:rPr>
          <w:lang w:val="fr-FR"/>
        </w:rPr>
        <w:t xml:space="preserve"> par l</w:t>
      </w:r>
      <w:r>
        <w:rPr>
          <w:lang w:val="fr-FR"/>
        </w:rPr>
        <w:t>e Directeur ou la Directrice</w:t>
      </w:r>
      <w:r w:rsidRPr="00200E3E">
        <w:rPr>
          <w:lang w:val="fr-FR"/>
        </w:rPr>
        <w:t xml:space="preserve"> de l</w:t>
      </w:r>
      <w:r w:rsidR="00F23D9E">
        <w:rPr>
          <w:lang w:val="fr-FR"/>
        </w:rPr>
        <w:t>’</w:t>
      </w:r>
      <w:r w:rsidRPr="00200E3E">
        <w:rPr>
          <w:lang w:val="fr-FR"/>
        </w:rPr>
        <w:t>administration</w:t>
      </w:r>
      <w:r>
        <w:rPr>
          <w:lang w:val="fr-FR"/>
        </w:rPr>
        <w:t>,</w:t>
      </w:r>
      <w:r w:rsidRPr="00200E3E">
        <w:rPr>
          <w:lang w:val="fr-FR"/>
        </w:rPr>
        <w:t xml:space="preserve"> du Département de l</w:t>
      </w:r>
      <w:r w:rsidR="00F23D9E">
        <w:rPr>
          <w:lang w:val="fr-FR"/>
        </w:rPr>
        <w:t>’</w:t>
      </w:r>
      <w:r w:rsidRPr="00200E3E">
        <w:rPr>
          <w:lang w:val="fr-FR"/>
        </w:rPr>
        <w:t>appui opérationnel.</w:t>
      </w:r>
    </w:p>
    <w:p w14:paraId="61C08C7E" w14:textId="77777777" w:rsidR="0090756B" w:rsidRPr="00200E3E" w:rsidRDefault="0090756B" w:rsidP="0090756B">
      <w:pPr>
        <w:pStyle w:val="SingleTxt"/>
        <w:spacing w:after="0" w:line="120" w:lineRule="exact"/>
        <w:rPr>
          <w:sz w:val="10"/>
          <w:lang w:val="fr-FR"/>
        </w:rPr>
      </w:pPr>
    </w:p>
    <w:p w14:paraId="32DAB8F5"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4</w:t>
      </w:r>
    </w:p>
    <w:p w14:paraId="0BF65A29" w14:textId="67450E8E"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Critères concernant l</w:t>
      </w:r>
      <w:r w:rsidR="00F23D9E">
        <w:rPr>
          <w:bCs/>
          <w:lang w:val="fr-FR"/>
        </w:rPr>
        <w:t>’</w:t>
      </w:r>
      <w:r w:rsidRPr="00200E3E">
        <w:rPr>
          <w:bCs/>
          <w:lang w:val="fr-FR"/>
        </w:rPr>
        <w:t>utilisation des locaux de l</w:t>
      </w:r>
      <w:r w:rsidR="00F23D9E">
        <w:rPr>
          <w:bCs/>
          <w:lang w:val="fr-FR"/>
        </w:rPr>
        <w:t>’</w:t>
      </w:r>
      <w:r w:rsidRPr="00200E3E">
        <w:rPr>
          <w:bCs/>
          <w:lang w:val="fr-FR"/>
        </w:rPr>
        <w:t>ONU</w:t>
      </w:r>
    </w:p>
    <w:p w14:paraId="04ED917E" w14:textId="77777777" w:rsidR="0090756B" w:rsidRPr="00200E3E" w:rsidRDefault="0090756B" w:rsidP="0090756B">
      <w:pPr>
        <w:pStyle w:val="SingleTxt"/>
        <w:spacing w:after="0" w:line="120" w:lineRule="exact"/>
        <w:rPr>
          <w:sz w:val="10"/>
          <w:lang w:val="fr-FR"/>
        </w:rPr>
      </w:pPr>
    </w:p>
    <w:p w14:paraId="28F343E6" w14:textId="152DC327" w:rsidR="0090756B" w:rsidRPr="00200E3E" w:rsidRDefault="0090756B" w:rsidP="00250B68">
      <w:pPr>
        <w:pStyle w:val="SingleTxt"/>
        <w:numPr>
          <w:ilvl w:val="0"/>
          <w:numId w:val="22"/>
        </w:numPr>
        <w:spacing w:line="240" w:lineRule="exact"/>
        <w:rPr>
          <w:lang w:val="fr-FR"/>
        </w:rPr>
      </w:pPr>
      <w:r w:rsidRPr="00200E3E">
        <w:rPr>
          <w:lang w:val="fr-FR"/>
        </w:rPr>
        <w:t>En cas d</w:t>
      </w:r>
      <w:r w:rsidR="00F23D9E">
        <w:rPr>
          <w:lang w:val="fr-FR"/>
        </w:rPr>
        <w:t>’</w:t>
      </w:r>
      <w:r w:rsidRPr="00200E3E">
        <w:rPr>
          <w:lang w:val="fr-FR"/>
        </w:rPr>
        <w:t>utilisation des locaux de l</w:t>
      </w:r>
      <w:r w:rsidR="00F23D9E">
        <w:rPr>
          <w:lang w:val="fr-FR"/>
        </w:rPr>
        <w:t>’</w:t>
      </w:r>
      <w:r w:rsidRPr="00200E3E">
        <w:rPr>
          <w:lang w:val="fr-FR"/>
        </w:rPr>
        <w:t>ONU, il convient de faire preuve du respect dû à la dignité de l</w:t>
      </w:r>
      <w:r w:rsidR="00F23D9E">
        <w:rPr>
          <w:lang w:val="fr-FR"/>
        </w:rPr>
        <w:t>’</w:t>
      </w:r>
      <w:r w:rsidRPr="00200E3E">
        <w:rPr>
          <w:lang w:val="fr-FR"/>
        </w:rPr>
        <w:t xml:space="preserve">Organisation. Les réunions, conférences, manifestations et expositions doivent </w:t>
      </w:r>
      <w:r>
        <w:rPr>
          <w:lang w:val="fr-FR"/>
        </w:rPr>
        <w:t>être conformes</w:t>
      </w:r>
      <w:r w:rsidRPr="00200E3E">
        <w:rPr>
          <w:lang w:val="fr-FR"/>
        </w:rPr>
        <w:t xml:space="preserve"> aux </w:t>
      </w:r>
      <w:r>
        <w:rPr>
          <w:lang w:val="fr-FR"/>
        </w:rPr>
        <w:t>buts</w:t>
      </w:r>
      <w:r w:rsidRPr="00200E3E">
        <w:rPr>
          <w:lang w:val="fr-FR"/>
        </w:rPr>
        <w:t xml:space="preserve"> et principes des Nations Unies et de nature non</w:t>
      </w:r>
      <w:r w:rsidR="00980524">
        <w:rPr>
          <w:lang w:val="fr-FR"/>
        </w:rPr>
        <w:t xml:space="preserve"> </w:t>
      </w:r>
      <w:r w:rsidRPr="00200E3E">
        <w:rPr>
          <w:lang w:val="fr-FR"/>
        </w:rPr>
        <w:t>commerciale. L</w:t>
      </w:r>
      <w:r w:rsidR="00F23D9E">
        <w:rPr>
          <w:lang w:val="fr-FR"/>
        </w:rPr>
        <w:t>’</w:t>
      </w:r>
      <w:r>
        <w:rPr>
          <w:lang w:val="fr-FR"/>
        </w:rPr>
        <w:t>e</w:t>
      </w:r>
      <w:r w:rsidRPr="00200E3E">
        <w:rPr>
          <w:lang w:val="fr-FR"/>
        </w:rPr>
        <w:t>ntité chargée de la gestion se réserve le droit de rejeter des demandes de réservation, de demander d</w:t>
      </w:r>
      <w:r w:rsidR="00F23D9E">
        <w:rPr>
          <w:lang w:val="fr-FR"/>
        </w:rPr>
        <w:t>’</w:t>
      </w:r>
      <w:r>
        <w:rPr>
          <w:lang w:val="fr-FR"/>
        </w:rPr>
        <w:t>apporter des modifications</w:t>
      </w:r>
      <w:r w:rsidRPr="00200E3E">
        <w:rPr>
          <w:lang w:val="fr-FR"/>
        </w:rPr>
        <w:t xml:space="preserve"> aux éléments soumis pour approbation ou d</w:t>
      </w:r>
      <w:r w:rsidR="00F23D9E">
        <w:rPr>
          <w:lang w:val="fr-FR"/>
        </w:rPr>
        <w:t>’</w:t>
      </w:r>
      <w:r w:rsidRPr="00200E3E">
        <w:rPr>
          <w:lang w:val="fr-FR"/>
        </w:rPr>
        <w:t>annuler des réservations précédemment approuvées si elle détermine qu</w:t>
      </w:r>
      <w:r w:rsidR="00F23D9E">
        <w:rPr>
          <w:lang w:val="fr-FR"/>
        </w:rPr>
        <w:t>’</w:t>
      </w:r>
      <w:r w:rsidRPr="00200E3E">
        <w:rPr>
          <w:lang w:val="fr-FR"/>
        </w:rPr>
        <w:t xml:space="preserve">une réunion, conférence, manifestation ou exposition </w:t>
      </w:r>
      <w:r>
        <w:rPr>
          <w:lang w:val="fr-FR"/>
        </w:rPr>
        <w:t>ne répond pas aux critères définis ci-dessus</w:t>
      </w:r>
      <w:r w:rsidRPr="00200E3E">
        <w:rPr>
          <w:lang w:val="fr-FR"/>
        </w:rPr>
        <w:t>.</w:t>
      </w:r>
    </w:p>
    <w:p w14:paraId="1780A014" w14:textId="47CEEBED" w:rsidR="0090756B" w:rsidRPr="00200E3E" w:rsidRDefault="0090756B" w:rsidP="00250B68">
      <w:pPr>
        <w:pStyle w:val="SingleTxt"/>
        <w:numPr>
          <w:ilvl w:val="0"/>
          <w:numId w:val="22"/>
        </w:numPr>
        <w:spacing w:line="240" w:lineRule="exact"/>
        <w:rPr>
          <w:lang w:val="fr-FR"/>
        </w:rPr>
      </w:pPr>
      <w:r w:rsidRPr="00200E3E">
        <w:rPr>
          <w:lang w:val="fr-FR"/>
        </w:rPr>
        <w:t xml:space="preserve">La teneur de toute réunion, conférence, manifestation ou exposition relève de la responsabilité exclusive de </w:t>
      </w:r>
      <w:r>
        <w:rPr>
          <w:lang w:val="fr-FR"/>
        </w:rPr>
        <w:t>toute entité partenaire</w:t>
      </w:r>
      <w:r w:rsidR="00E4409F">
        <w:rPr>
          <w:lang w:val="fr-FR"/>
        </w:rPr>
        <w:t>,</w:t>
      </w:r>
      <w:r w:rsidRPr="00200E3E">
        <w:rPr>
          <w:lang w:val="fr-FR"/>
        </w:rPr>
        <w:t xml:space="preserve"> et toute question ou préoccupation relative à ladite réunion, conférence, manifestation ou exposition doit être adressée </w:t>
      </w:r>
      <w:r>
        <w:rPr>
          <w:lang w:val="fr-FR"/>
        </w:rPr>
        <w:t>à l</w:t>
      </w:r>
      <w:r w:rsidR="00F23D9E">
        <w:rPr>
          <w:lang w:val="fr-FR"/>
        </w:rPr>
        <w:t>’</w:t>
      </w:r>
      <w:r>
        <w:rPr>
          <w:lang w:val="fr-FR"/>
        </w:rPr>
        <w:t>entité ou aux entités partenaire(s).</w:t>
      </w:r>
    </w:p>
    <w:p w14:paraId="3C89EAB8" w14:textId="68AC41B3" w:rsidR="0090756B" w:rsidRPr="00200E3E" w:rsidRDefault="0090756B" w:rsidP="00250B68">
      <w:pPr>
        <w:pStyle w:val="SingleTxt"/>
        <w:numPr>
          <w:ilvl w:val="0"/>
          <w:numId w:val="22"/>
        </w:numPr>
        <w:spacing w:line="240" w:lineRule="exact"/>
        <w:rPr>
          <w:lang w:val="fr-FR"/>
        </w:rPr>
      </w:pPr>
      <w:r w:rsidRPr="00200E3E">
        <w:rPr>
          <w:lang w:val="fr-FR"/>
        </w:rPr>
        <w:t>L</w:t>
      </w:r>
      <w:r w:rsidR="00F23D9E">
        <w:rPr>
          <w:lang w:val="fr-FR"/>
        </w:rPr>
        <w:t>’</w:t>
      </w:r>
      <w:r w:rsidRPr="00200E3E">
        <w:rPr>
          <w:lang w:val="fr-FR"/>
        </w:rPr>
        <w:t>autorisation d</w:t>
      </w:r>
      <w:r w:rsidR="00F23D9E">
        <w:rPr>
          <w:lang w:val="fr-FR"/>
        </w:rPr>
        <w:t>’</w:t>
      </w:r>
      <w:r w:rsidRPr="00200E3E">
        <w:rPr>
          <w:lang w:val="fr-FR"/>
        </w:rPr>
        <w:t>utiliser les installations de conférence est subordonnée à la condition que les réunions et conférences de l</w:t>
      </w:r>
      <w:r w:rsidR="00F23D9E">
        <w:rPr>
          <w:lang w:val="fr-FR"/>
        </w:rPr>
        <w:t>’</w:t>
      </w:r>
      <w:r w:rsidRPr="00200E3E">
        <w:rPr>
          <w:lang w:val="fr-FR"/>
        </w:rPr>
        <w:t>Assemblée générale et des autres organes de l</w:t>
      </w:r>
      <w:r w:rsidR="00F23D9E">
        <w:rPr>
          <w:lang w:val="fr-FR"/>
        </w:rPr>
        <w:t>’</w:t>
      </w:r>
      <w:r w:rsidRPr="00200E3E">
        <w:rPr>
          <w:lang w:val="fr-FR"/>
        </w:rPr>
        <w:t>Organisation priment sur toute autre réunion ou manifestation. Le Département de l</w:t>
      </w:r>
      <w:r w:rsidR="00F23D9E">
        <w:rPr>
          <w:lang w:val="fr-FR"/>
        </w:rPr>
        <w:t>’</w:t>
      </w:r>
      <w:r w:rsidRPr="00200E3E">
        <w:rPr>
          <w:lang w:val="fr-FR"/>
        </w:rPr>
        <w:t>Assemblée générale et de la gestion des conférences se réserve le droit d</w:t>
      </w:r>
      <w:r w:rsidR="00F23D9E">
        <w:rPr>
          <w:lang w:val="fr-FR"/>
        </w:rPr>
        <w:t>’</w:t>
      </w:r>
      <w:r w:rsidRPr="00200E3E">
        <w:rPr>
          <w:lang w:val="fr-FR"/>
        </w:rPr>
        <w:t>annuler des réservations précédemment autorisées à tout moment avant la tenue de l</w:t>
      </w:r>
      <w:r w:rsidR="00F23D9E">
        <w:rPr>
          <w:lang w:val="fr-FR"/>
        </w:rPr>
        <w:t>’</w:t>
      </w:r>
      <w:r w:rsidRPr="00200E3E">
        <w:rPr>
          <w:lang w:val="fr-FR"/>
        </w:rPr>
        <w:t>événement en cas de changements imprévus dans les calendriers ou les programmes de l</w:t>
      </w:r>
      <w:r w:rsidR="00F23D9E">
        <w:rPr>
          <w:lang w:val="fr-FR"/>
        </w:rPr>
        <w:t>’</w:t>
      </w:r>
      <w:r w:rsidRPr="00200E3E">
        <w:rPr>
          <w:lang w:val="fr-FR"/>
        </w:rPr>
        <w:t>Organisation. Dans ce cas, l</w:t>
      </w:r>
      <w:r w:rsidR="00F23D9E">
        <w:rPr>
          <w:lang w:val="fr-FR"/>
        </w:rPr>
        <w:t>’</w:t>
      </w:r>
      <w:r>
        <w:rPr>
          <w:lang w:val="fr-FR"/>
        </w:rPr>
        <w:t>entité partenaire</w:t>
      </w:r>
      <w:r w:rsidRPr="00200E3E">
        <w:rPr>
          <w:lang w:val="fr-FR"/>
        </w:rPr>
        <w:t xml:space="preserve"> en est informé</w:t>
      </w:r>
      <w:r>
        <w:rPr>
          <w:lang w:val="fr-FR"/>
        </w:rPr>
        <w:t>e</w:t>
      </w:r>
      <w:r w:rsidRPr="00200E3E">
        <w:rPr>
          <w:lang w:val="fr-FR"/>
        </w:rPr>
        <w:t xml:space="preserve"> dans les meilleurs délais et est chargé</w:t>
      </w:r>
      <w:r>
        <w:rPr>
          <w:lang w:val="fr-FR"/>
        </w:rPr>
        <w:t>e</w:t>
      </w:r>
      <w:r w:rsidRPr="00200E3E">
        <w:rPr>
          <w:lang w:val="fr-FR"/>
        </w:rPr>
        <w:t xml:space="preserve"> de trouver un lieu de remplacement. </w:t>
      </w:r>
    </w:p>
    <w:p w14:paraId="11FE6B50" w14:textId="02D642CF" w:rsidR="0090756B" w:rsidRPr="00200E3E" w:rsidRDefault="0090756B" w:rsidP="00250B68">
      <w:pPr>
        <w:pStyle w:val="SingleTxt"/>
        <w:numPr>
          <w:ilvl w:val="0"/>
          <w:numId w:val="22"/>
        </w:numPr>
        <w:spacing w:line="240" w:lineRule="exact"/>
        <w:rPr>
          <w:lang w:val="fr-FR"/>
        </w:rPr>
      </w:pPr>
      <w:r w:rsidRPr="00200E3E">
        <w:rPr>
          <w:lang w:val="fr-FR"/>
        </w:rPr>
        <w:t>En sus des réunions et conférences prévues au calendrier des conférences</w:t>
      </w:r>
      <w:r>
        <w:rPr>
          <w:lang w:val="fr-FR"/>
        </w:rPr>
        <w:t>,</w:t>
      </w:r>
      <w:r w:rsidRPr="00200E3E">
        <w:rPr>
          <w:lang w:val="fr-FR"/>
        </w:rPr>
        <w:t xml:space="preserve"> des réunions approuvées par l</w:t>
      </w:r>
      <w:r w:rsidR="00F23D9E">
        <w:rPr>
          <w:lang w:val="fr-FR"/>
        </w:rPr>
        <w:t>’</w:t>
      </w:r>
      <w:r w:rsidRPr="00200E3E">
        <w:rPr>
          <w:lang w:val="fr-FR"/>
        </w:rPr>
        <w:t>Assemblée générale et des réunions de groupes régionaux ou autres groupes établis d</w:t>
      </w:r>
      <w:r w:rsidR="00F23D9E">
        <w:rPr>
          <w:lang w:val="fr-FR"/>
        </w:rPr>
        <w:t>’</w:t>
      </w:r>
      <w:r w:rsidRPr="00200E3E">
        <w:rPr>
          <w:lang w:val="fr-FR"/>
        </w:rPr>
        <w:t>États Membres, les réunions, conférences, manifestations et expositions qui peuvent être parrainées dans les locaux de l</w:t>
      </w:r>
      <w:r w:rsidR="00F23D9E">
        <w:rPr>
          <w:lang w:val="fr-FR"/>
        </w:rPr>
        <w:t>’</w:t>
      </w:r>
      <w:r w:rsidRPr="00200E3E">
        <w:rPr>
          <w:lang w:val="fr-FR"/>
        </w:rPr>
        <w:t>ONU comprennent</w:t>
      </w:r>
      <w:r w:rsidR="005B5EF7">
        <w:rPr>
          <w:lang w:val="fr-FR"/>
        </w:rPr>
        <w:t> </w:t>
      </w:r>
      <w:r w:rsidRPr="00200E3E">
        <w:rPr>
          <w:lang w:val="fr-FR"/>
        </w:rPr>
        <w:t>:</w:t>
      </w:r>
    </w:p>
    <w:p w14:paraId="6867A710" w14:textId="6827A1F2" w:rsidR="0090756B" w:rsidRPr="00200E3E" w:rsidRDefault="0090756B" w:rsidP="0090756B">
      <w:pPr>
        <w:pStyle w:val="SingleTxt"/>
        <w:rPr>
          <w:lang w:val="fr-FR"/>
        </w:rPr>
      </w:pPr>
      <w:r>
        <w:rPr>
          <w:lang w:val="fr-FR"/>
        </w:rPr>
        <w:tab/>
      </w:r>
      <w:r w:rsidRPr="00200E3E">
        <w:rPr>
          <w:lang w:val="fr-FR"/>
        </w:rPr>
        <w:t>a)</w:t>
      </w:r>
      <w:r w:rsidRPr="00200E3E">
        <w:rPr>
          <w:lang w:val="fr-FR"/>
        </w:rPr>
        <w:tab/>
        <w:t xml:space="preserve">celles qui ont été demandées par une </w:t>
      </w:r>
      <w:r>
        <w:rPr>
          <w:lang w:val="fr-FR"/>
        </w:rPr>
        <w:t>e</w:t>
      </w:r>
      <w:r w:rsidRPr="00200E3E">
        <w:rPr>
          <w:lang w:val="fr-FR"/>
        </w:rPr>
        <w:t>ntité des Nations Unies</w:t>
      </w:r>
      <w:r w:rsidR="0020733B">
        <w:rPr>
          <w:lang w:val="fr-FR"/>
        </w:rPr>
        <w:t> </w:t>
      </w:r>
      <w:r w:rsidRPr="00200E3E">
        <w:rPr>
          <w:lang w:val="fr-FR"/>
        </w:rPr>
        <w:t>;</w:t>
      </w:r>
    </w:p>
    <w:p w14:paraId="6B810A32" w14:textId="475F6D88" w:rsidR="0090756B" w:rsidRPr="00200E3E" w:rsidRDefault="0090756B" w:rsidP="0090756B">
      <w:pPr>
        <w:pStyle w:val="SingleTxt"/>
        <w:rPr>
          <w:lang w:val="fr-FR"/>
        </w:rPr>
      </w:pPr>
      <w:r>
        <w:rPr>
          <w:lang w:val="fr-FR"/>
        </w:rPr>
        <w:tab/>
      </w:r>
      <w:r w:rsidRPr="00200E3E">
        <w:rPr>
          <w:lang w:val="fr-FR"/>
        </w:rPr>
        <w:t>b)</w:t>
      </w:r>
      <w:r w:rsidRPr="00200E3E">
        <w:rPr>
          <w:lang w:val="fr-FR"/>
        </w:rPr>
        <w:tab/>
        <w:t>celles d</w:t>
      </w:r>
      <w:r w:rsidR="00F23D9E">
        <w:rPr>
          <w:lang w:val="fr-FR"/>
        </w:rPr>
        <w:t>’</w:t>
      </w:r>
      <w:r w:rsidRPr="00200E3E">
        <w:rPr>
          <w:lang w:val="fr-FR"/>
        </w:rPr>
        <w:t xml:space="preserve">entités </w:t>
      </w:r>
      <w:r>
        <w:rPr>
          <w:lang w:val="fr-FR"/>
        </w:rPr>
        <w:t>extérieures au</w:t>
      </w:r>
      <w:r w:rsidRPr="00200E3E">
        <w:rPr>
          <w:lang w:val="fr-FR"/>
        </w:rPr>
        <w:t xml:space="preserve"> système des Nations Unies qu</w:t>
      </w:r>
      <w:r w:rsidR="00F23D9E">
        <w:rPr>
          <w:lang w:val="fr-FR"/>
        </w:rPr>
        <w:t>’</w:t>
      </w:r>
      <w:r w:rsidRPr="00200E3E">
        <w:rPr>
          <w:lang w:val="fr-FR"/>
        </w:rPr>
        <w:t xml:space="preserve">une </w:t>
      </w:r>
      <w:r>
        <w:rPr>
          <w:lang w:val="fr-FR"/>
        </w:rPr>
        <w:t>e</w:t>
      </w:r>
      <w:r w:rsidRPr="00200E3E">
        <w:rPr>
          <w:lang w:val="fr-FR"/>
        </w:rPr>
        <w:t>ntité des Nations Unies</w:t>
      </w:r>
      <w:r>
        <w:rPr>
          <w:lang w:val="fr-FR"/>
        </w:rPr>
        <w:t xml:space="preserve"> parraine</w:t>
      </w:r>
      <w:r w:rsidRPr="00200E3E">
        <w:rPr>
          <w:lang w:val="fr-FR"/>
        </w:rPr>
        <w:t xml:space="preserve"> dans le cadre de son programme de travail</w:t>
      </w:r>
      <w:r w:rsidR="0020733B">
        <w:rPr>
          <w:lang w:val="fr-FR"/>
        </w:rPr>
        <w:t> </w:t>
      </w:r>
      <w:r w:rsidRPr="00200E3E">
        <w:rPr>
          <w:lang w:val="fr-FR"/>
        </w:rPr>
        <w:t>;</w:t>
      </w:r>
    </w:p>
    <w:p w14:paraId="507103E5" w14:textId="68D2E668" w:rsidR="0090756B" w:rsidRPr="00200E3E" w:rsidRDefault="0090756B" w:rsidP="0090756B">
      <w:pPr>
        <w:pStyle w:val="SingleTxt"/>
        <w:rPr>
          <w:lang w:val="fr-FR"/>
        </w:rPr>
      </w:pPr>
      <w:r>
        <w:rPr>
          <w:lang w:val="fr-FR"/>
        </w:rPr>
        <w:tab/>
      </w:r>
      <w:r w:rsidRPr="00200E3E">
        <w:rPr>
          <w:lang w:val="fr-FR"/>
        </w:rPr>
        <w:t>c)</w:t>
      </w:r>
      <w:r w:rsidRPr="00200E3E">
        <w:rPr>
          <w:lang w:val="fr-FR"/>
        </w:rPr>
        <w:tab/>
        <w:t xml:space="preserve">celles qui ont été demandées par des </w:t>
      </w:r>
      <w:r>
        <w:rPr>
          <w:lang w:val="fr-FR"/>
        </w:rPr>
        <w:t>m</w:t>
      </w:r>
      <w:r w:rsidRPr="00200E3E">
        <w:rPr>
          <w:lang w:val="fr-FR"/>
        </w:rPr>
        <w:t xml:space="preserve">issions permanentes ou des </w:t>
      </w:r>
      <w:r>
        <w:rPr>
          <w:lang w:val="fr-FR"/>
        </w:rPr>
        <w:t>m</w:t>
      </w:r>
      <w:r w:rsidRPr="00200E3E">
        <w:rPr>
          <w:lang w:val="fr-FR"/>
        </w:rPr>
        <w:t>issions permanentes d</w:t>
      </w:r>
      <w:r w:rsidR="00F23D9E">
        <w:rPr>
          <w:lang w:val="fr-FR"/>
        </w:rPr>
        <w:t>’</w:t>
      </w:r>
      <w:r w:rsidRPr="00200E3E">
        <w:rPr>
          <w:lang w:val="fr-FR"/>
        </w:rPr>
        <w:t>observation auprès de l</w:t>
      </w:r>
      <w:r w:rsidR="00F23D9E">
        <w:rPr>
          <w:lang w:val="fr-FR"/>
        </w:rPr>
        <w:t>’</w:t>
      </w:r>
      <w:r w:rsidRPr="00200E3E">
        <w:rPr>
          <w:lang w:val="fr-FR"/>
        </w:rPr>
        <w:t>Organisation des Nations Unies</w:t>
      </w:r>
      <w:r>
        <w:rPr>
          <w:lang w:val="fr-FR"/>
        </w:rPr>
        <w:t>, y compris</w:t>
      </w:r>
      <w:r w:rsidRPr="00200E3E">
        <w:rPr>
          <w:lang w:val="fr-FR"/>
        </w:rPr>
        <w:t xml:space="preserve"> celles</w:t>
      </w:r>
      <w:r>
        <w:rPr>
          <w:lang w:val="fr-FR"/>
        </w:rPr>
        <w:t xml:space="preserve"> qui sont organisées par des e</w:t>
      </w:r>
      <w:r w:rsidRPr="00200E3E">
        <w:rPr>
          <w:lang w:val="fr-FR"/>
        </w:rPr>
        <w:t xml:space="preserve">ntités </w:t>
      </w:r>
      <w:r>
        <w:rPr>
          <w:lang w:val="fr-FR"/>
        </w:rPr>
        <w:t>extérieures au système des</w:t>
      </w:r>
      <w:r w:rsidRPr="00200E3E">
        <w:rPr>
          <w:lang w:val="fr-FR"/>
        </w:rPr>
        <w:t xml:space="preserve"> Nations Unies</w:t>
      </w:r>
      <w:r>
        <w:rPr>
          <w:lang w:val="fr-FR"/>
        </w:rPr>
        <w:t xml:space="preserve"> et</w:t>
      </w:r>
      <w:r w:rsidRPr="00200E3E">
        <w:rPr>
          <w:lang w:val="fr-FR"/>
        </w:rPr>
        <w:t xml:space="preserve"> parrainées par une </w:t>
      </w:r>
      <w:r>
        <w:rPr>
          <w:lang w:val="fr-FR"/>
        </w:rPr>
        <w:t>m</w:t>
      </w:r>
      <w:r w:rsidRPr="00200E3E">
        <w:rPr>
          <w:lang w:val="fr-FR"/>
        </w:rPr>
        <w:t xml:space="preserve">ission permanente ou une </w:t>
      </w:r>
      <w:r>
        <w:rPr>
          <w:lang w:val="fr-FR"/>
        </w:rPr>
        <w:t>m</w:t>
      </w:r>
      <w:r w:rsidRPr="00200E3E">
        <w:rPr>
          <w:lang w:val="fr-FR"/>
        </w:rPr>
        <w:t>ission permanente d</w:t>
      </w:r>
      <w:r w:rsidR="00F23D9E">
        <w:rPr>
          <w:lang w:val="fr-FR"/>
        </w:rPr>
        <w:t>’</w:t>
      </w:r>
      <w:r w:rsidRPr="00200E3E">
        <w:rPr>
          <w:lang w:val="fr-FR"/>
        </w:rPr>
        <w:t>observation</w:t>
      </w:r>
      <w:r w:rsidR="00F356A3">
        <w:rPr>
          <w:lang w:val="fr-FR"/>
        </w:rPr>
        <w:t> </w:t>
      </w:r>
      <w:r w:rsidRPr="00200E3E">
        <w:rPr>
          <w:lang w:val="fr-FR"/>
        </w:rPr>
        <w:t>;</w:t>
      </w:r>
    </w:p>
    <w:p w14:paraId="1AAF390B" w14:textId="390C7157" w:rsidR="0090756B" w:rsidRPr="00200E3E" w:rsidRDefault="0090756B" w:rsidP="0090756B">
      <w:pPr>
        <w:pStyle w:val="SingleTxt"/>
        <w:rPr>
          <w:lang w:val="fr-FR"/>
        </w:rPr>
      </w:pPr>
      <w:r>
        <w:rPr>
          <w:lang w:val="fr-FR"/>
        </w:rPr>
        <w:tab/>
      </w:r>
      <w:r w:rsidRPr="00200E3E">
        <w:rPr>
          <w:lang w:val="fr-FR"/>
        </w:rPr>
        <w:t>d)</w:t>
      </w:r>
      <w:r w:rsidRPr="00200E3E">
        <w:rPr>
          <w:lang w:val="fr-FR"/>
        </w:rPr>
        <w:tab/>
        <w:t>celles qui sont parrainées par le Syndicat du personnel de l</w:t>
      </w:r>
      <w:r w:rsidR="00F23D9E">
        <w:rPr>
          <w:lang w:val="fr-FR"/>
        </w:rPr>
        <w:t>’</w:t>
      </w:r>
      <w:r w:rsidRPr="00200E3E">
        <w:rPr>
          <w:lang w:val="fr-FR"/>
        </w:rPr>
        <w:t xml:space="preserve">Organisation des Nations Unies </w:t>
      </w:r>
      <w:r>
        <w:rPr>
          <w:lang w:val="fr-FR"/>
        </w:rPr>
        <w:t>ou</w:t>
      </w:r>
      <w:r w:rsidRPr="00200E3E">
        <w:rPr>
          <w:lang w:val="fr-FR"/>
        </w:rPr>
        <w:t xml:space="preserve"> qui ont trait aux activités du Syndicat</w:t>
      </w:r>
      <w:r w:rsidR="00F356A3">
        <w:rPr>
          <w:lang w:val="fr-FR"/>
        </w:rPr>
        <w:t> </w:t>
      </w:r>
      <w:r w:rsidRPr="00200E3E">
        <w:rPr>
          <w:lang w:val="fr-FR"/>
        </w:rPr>
        <w:t>;</w:t>
      </w:r>
    </w:p>
    <w:p w14:paraId="4F2C0E19" w14:textId="146A252F" w:rsidR="0090756B" w:rsidRPr="00200E3E" w:rsidRDefault="0090756B" w:rsidP="0090756B">
      <w:pPr>
        <w:pStyle w:val="SingleTxt"/>
        <w:rPr>
          <w:lang w:val="fr-FR"/>
        </w:rPr>
      </w:pPr>
      <w:r>
        <w:rPr>
          <w:lang w:val="fr-FR"/>
        </w:rPr>
        <w:tab/>
      </w:r>
      <w:r w:rsidRPr="00200E3E">
        <w:rPr>
          <w:lang w:val="fr-FR"/>
        </w:rPr>
        <w:t>e)</w:t>
      </w:r>
      <w:r w:rsidRPr="00200E3E">
        <w:rPr>
          <w:lang w:val="fr-FR"/>
        </w:rPr>
        <w:tab/>
        <w:t>celles qui sont tenues par les clubs du Comité des loisirs du personnel de l</w:t>
      </w:r>
      <w:r w:rsidR="00F23D9E">
        <w:rPr>
          <w:lang w:val="fr-FR"/>
        </w:rPr>
        <w:t>’</w:t>
      </w:r>
      <w:r w:rsidRPr="00200E3E">
        <w:rPr>
          <w:lang w:val="fr-FR"/>
        </w:rPr>
        <w:t>ONU à New York.</w:t>
      </w:r>
    </w:p>
    <w:p w14:paraId="6825AA46" w14:textId="78433833" w:rsidR="0090756B" w:rsidRPr="00200E3E" w:rsidRDefault="0090756B" w:rsidP="00250B68">
      <w:pPr>
        <w:pStyle w:val="SingleTxt"/>
        <w:numPr>
          <w:ilvl w:val="0"/>
          <w:numId w:val="22"/>
        </w:numPr>
        <w:spacing w:line="240" w:lineRule="exact"/>
        <w:rPr>
          <w:lang w:val="fr-FR"/>
        </w:rPr>
      </w:pPr>
      <w:r w:rsidRPr="0063544B">
        <w:rPr>
          <w:spacing w:val="2"/>
          <w:w w:val="102"/>
          <w:lang w:val="fr-FR"/>
        </w:rPr>
        <w:t>Les entités extérieures au système des Nations Unies, notamment les organisations</w:t>
      </w:r>
      <w:r w:rsidRPr="00200E3E">
        <w:rPr>
          <w:lang w:val="fr-FR"/>
        </w:rPr>
        <w:t xml:space="preserve"> non gouvernementales, ne devraient pas tenir de réunion, conférence, manifestation ou exposition dans les locaux de</w:t>
      </w:r>
      <w:r>
        <w:rPr>
          <w:lang w:val="fr-FR"/>
        </w:rPr>
        <w:t xml:space="preserve"> l</w:t>
      </w:r>
      <w:r w:rsidR="00F23D9E">
        <w:rPr>
          <w:lang w:val="fr-FR"/>
        </w:rPr>
        <w:t>’</w:t>
      </w:r>
      <w:r>
        <w:rPr>
          <w:lang w:val="fr-FR"/>
        </w:rPr>
        <w:t>ONU</w:t>
      </w:r>
      <w:r w:rsidRPr="00200E3E">
        <w:rPr>
          <w:lang w:val="fr-FR"/>
        </w:rPr>
        <w:t xml:space="preserve"> pour mener leurs propres activités ou à l</w:t>
      </w:r>
      <w:r w:rsidR="00F23D9E">
        <w:rPr>
          <w:lang w:val="fr-FR"/>
        </w:rPr>
        <w:t>’</w:t>
      </w:r>
      <w:r w:rsidRPr="00200E3E">
        <w:rPr>
          <w:lang w:val="fr-FR"/>
        </w:rPr>
        <w:t xml:space="preserve">appui de leurs propres objectifs ou buts, sauf dans les </w:t>
      </w:r>
      <w:r w:rsidRPr="000F6ACA">
        <w:rPr>
          <w:lang w:val="fr-FR"/>
        </w:rPr>
        <w:t>espaces destinés à la restauration</w:t>
      </w:r>
      <w:r w:rsidRPr="00200E3E">
        <w:rPr>
          <w:lang w:val="fr-FR"/>
        </w:rPr>
        <w:t>, qui peuvent être réservés pour des événements privés, auquel cas l</w:t>
      </w:r>
      <w:r w:rsidR="00F23D9E">
        <w:rPr>
          <w:lang w:val="fr-FR"/>
        </w:rPr>
        <w:t>’</w:t>
      </w:r>
      <w:r>
        <w:rPr>
          <w:lang w:val="fr-FR"/>
        </w:rPr>
        <w:t>entité partenaire</w:t>
      </w:r>
      <w:r w:rsidRPr="00200E3E">
        <w:rPr>
          <w:lang w:val="fr-FR"/>
        </w:rPr>
        <w:t xml:space="preserve"> de la réunion, conférence, manifestation ou exposition doit </w:t>
      </w:r>
      <w:r>
        <w:rPr>
          <w:lang w:val="fr-FR"/>
        </w:rPr>
        <w:t xml:space="preserve">indiquer </w:t>
      </w:r>
      <w:r>
        <w:rPr>
          <w:lang w:val="fr-FR"/>
        </w:rPr>
        <w:lastRenderedPageBreak/>
        <w:t>expressément dans les informations communiquées aux</w:t>
      </w:r>
      <w:r w:rsidRPr="00200E3E">
        <w:rPr>
          <w:lang w:val="fr-FR"/>
        </w:rPr>
        <w:t xml:space="preserve"> participants </w:t>
      </w:r>
      <w:r w:rsidRPr="00817233">
        <w:rPr>
          <w:lang w:val="fr-FR"/>
        </w:rPr>
        <w:t>que le lieu de la manifestation est l</w:t>
      </w:r>
      <w:r w:rsidR="00F23D9E">
        <w:rPr>
          <w:lang w:val="fr-FR"/>
        </w:rPr>
        <w:t>’</w:t>
      </w:r>
      <w:r w:rsidRPr="00817233">
        <w:rPr>
          <w:lang w:val="fr-FR"/>
        </w:rPr>
        <w:t>espace destiné à la restauration.</w:t>
      </w:r>
    </w:p>
    <w:p w14:paraId="56957AF3" w14:textId="77777777" w:rsidR="0090756B" w:rsidRPr="00200E3E" w:rsidRDefault="0090756B" w:rsidP="0090756B">
      <w:pPr>
        <w:pStyle w:val="SingleTxt"/>
        <w:spacing w:after="0" w:line="120" w:lineRule="exact"/>
        <w:rPr>
          <w:sz w:val="10"/>
          <w:lang w:val="fr-FR"/>
        </w:rPr>
      </w:pPr>
    </w:p>
    <w:p w14:paraId="3F9A99A3"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5</w:t>
      </w:r>
    </w:p>
    <w:p w14:paraId="2904E87E"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Coordination des services</w:t>
      </w:r>
    </w:p>
    <w:p w14:paraId="3C58014A" w14:textId="77777777" w:rsidR="0090756B" w:rsidRPr="00200E3E" w:rsidRDefault="0090756B" w:rsidP="0090756B">
      <w:pPr>
        <w:pStyle w:val="SingleTxt"/>
        <w:spacing w:after="0" w:line="120" w:lineRule="exact"/>
        <w:rPr>
          <w:sz w:val="10"/>
          <w:lang w:val="fr-FR"/>
        </w:rPr>
      </w:pPr>
    </w:p>
    <w:p w14:paraId="47FD3B10" w14:textId="77777777" w:rsidR="00AF2E58" w:rsidRDefault="0090756B" w:rsidP="0090756B">
      <w:pPr>
        <w:pStyle w:val="SingleTxt"/>
        <w:spacing w:after="0"/>
        <w:rPr>
          <w:lang w:val="fr-FR"/>
        </w:rPr>
      </w:pPr>
      <w:r w:rsidRPr="00200E3E">
        <w:rPr>
          <w:lang w:val="fr-FR"/>
        </w:rPr>
        <w:tab/>
        <w:t>Lors de réunions, conférences, manifestations et expositions approuvées auxquelles contribuent plusieurs prestataires de services internes et pour lesquelles des services et équipements techniques supplémentaires sont requis, la Division de l</w:t>
      </w:r>
      <w:r w:rsidR="00F23D9E">
        <w:rPr>
          <w:lang w:val="fr-FR"/>
        </w:rPr>
        <w:t>’</w:t>
      </w:r>
      <w:r w:rsidRPr="00200E3E">
        <w:rPr>
          <w:lang w:val="fr-FR"/>
        </w:rPr>
        <w:t>administration</w:t>
      </w:r>
      <w:r>
        <w:rPr>
          <w:lang w:val="fr-FR"/>
        </w:rPr>
        <w:t>,</w:t>
      </w:r>
      <w:r w:rsidRPr="00200E3E">
        <w:rPr>
          <w:lang w:val="fr-FR"/>
        </w:rPr>
        <w:t xml:space="preserve"> du Département de l</w:t>
      </w:r>
      <w:r w:rsidR="00F23D9E">
        <w:rPr>
          <w:lang w:val="fr-FR"/>
        </w:rPr>
        <w:t>’</w:t>
      </w:r>
      <w:r w:rsidRPr="00200E3E">
        <w:rPr>
          <w:lang w:val="fr-FR"/>
        </w:rPr>
        <w:t>appui opérationnel</w:t>
      </w:r>
      <w:r>
        <w:rPr>
          <w:lang w:val="fr-FR"/>
        </w:rPr>
        <w:t>,</w:t>
      </w:r>
      <w:r w:rsidRPr="00200E3E">
        <w:rPr>
          <w:lang w:val="fr-FR"/>
        </w:rPr>
        <w:t xml:space="preserve"> assure la coordination avec les départements et bureaux concernés en vue de garantir la fourniture de ces services et équipements.</w:t>
      </w:r>
    </w:p>
    <w:p w14:paraId="1A367989" w14:textId="77777777" w:rsidR="0090756B" w:rsidRPr="00200E3E" w:rsidRDefault="0090756B" w:rsidP="0090756B">
      <w:pPr>
        <w:pStyle w:val="SingleTxt"/>
        <w:spacing w:after="0"/>
        <w:rPr>
          <w:sz w:val="10"/>
          <w:lang w:val="fr-FR"/>
        </w:rPr>
      </w:pPr>
    </w:p>
    <w:p w14:paraId="36E13F62" w14:textId="2396AB49"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00E3E">
        <w:rPr>
          <w:lang w:val="fr-FR"/>
        </w:rPr>
        <w:t>Section 6</w:t>
      </w:r>
    </w:p>
    <w:p w14:paraId="7A49586E" w14:textId="3794E1AA"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00E3E">
        <w:rPr>
          <w:lang w:val="fr-FR"/>
        </w:rPr>
        <w:t xml:space="preserve">Critères et attributions des </w:t>
      </w:r>
      <w:r w:rsidRPr="00817233">
        <w:rPr>
          <w:lang w:val="fr-FR"/>
        </w:rPr>
        <w:t>entités partenaires</w:t>
      </w:r>
    </w:p>
    <w:p w14:paraId="123BD399" w14:textId="77777777" w:rsidR="0090756B" w:rsidRPr="0090756B" w:rsidRDefault="0090756B" w:rsidP="0090756B">
      <w:pPr>
        <w:pStyle w:val="SingleTxt"/>
        <w:spacing w:after="0" w:line="120" w:lineRule="exact"/>
        <w:rPr>
          <w:i/>
          <w:iCs/>
          <w:sz w:val="10"/>
          <w:lang w:val="fr-FR"/>
        </w:rPr>
      </w:pPr>
    </w:p>
    <w:p w14:paraId="21543DF1" w14:textId="77777777" w:rsidR="0090756B" w:rsidRDefault="0090756B" w:rsidP="0090756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00E3E">
        <w:rPr>
          <w:lang w:val="fr-FR"/>
        </w:rPr>
        <w:t xml:space="preserve">Entités jouant le rôle de </w:t>
      </w:r>
      <w:r w:rsidRPr="00EC4A73">
        <w:rPr>
          <w:lang w:val="fr-FR"/>
        </w:rPr>
        <w:t>partenaires</w:t>
      </w:r>
    </w:p>
    <w:p w14:paraId="1CA5F191" w14:textId="25310F76" w:rsidR="0090756B" w:rsidRPr="0090756B" w:rsidRDefault="0090756B" w:rsidP="0090756B">
      <w:pPr>
        <w:pStyle w:val="SingleTxt"/>
        <w:spacing w:after="0" w:line="120" w:lineRule="exact"/>
        <w:rPr>
          <w:sz w:val="10"/>
          <w:lang w:val="fr-FR"/>
        </w:rPr>
      </w:pPr>
    </w:p>
    <w:p w14:paraId="733E8BD9" w14:textId="2A4EBE8C" w:rsidR="00250B68" w:rsidRDefault="00250B68" w:rsidP="00250B68">
      <w:pPr>
        <w:pStyle w:val="SingleTxt"/>
        <w:numPr>
          <w:ilvl w:val="0"/>
          <w:numId w:val="30"/>
        </w:numPr>
        <w:rPr>
          <w:lang w:val="fr-FR"/>
        </w:rPr>
      </w:pPr>
      <w:r>
        <w:rPr>
          <w:lang w:val="fr-FR"/>
        </w:rPr>
        <w:t>Lorsque</w:t>
      </w:r>
      <w:r w:rsidRPr="00200E3E">
        <w:rPr>
          <w:lang w:val="fr-FR"/>
        </w:rPr>
        <w:t xml:space="preserve"> les réunions et conférences visées au paragraphe 3.2 requièrent des </w:t>
      </w:r>
      <w:r w:rsidRPr="00817233">
        <w:rPr>
          <w:lang w:val="fr-FR"/>
        </w:rPr>
        <w:t>services en sus de</w:t>
      </w:r>
      <w:r w:rsidRPr="00200E3E">
        <w:rPr>
          <w:lang w:val="fr-FR"/>
        </w:rPr>
        <w:t xml:space="preserve"> ceux qui sont normalement fournis, les services d</w:t>
      </w:r>
      <w:r w:rsidR="00F23D9E">
        <w:rPr>
          <w:lang w:val="fr-FR"/>
        </w:rPr>
        <w:t>’</w:t>
      </w:r>
      <w:r w:rsidRPr="00200E3E">
        <w:rPr>
          <w:lang w:val="fr-FR"/>
        </w:rPr>
        <w:t xml:space="preserve">appui fonctionnel des entités concernées jouent le rôle </w:t>
      </w:r>
      <w:r w:rsidRPr="00817233">
        <w:rPr>
          <w:lang w:val="fr-FR"/>
        </w:rPr>
        <w:t>d</w:t>
      </w:r>
      <w:r w:rsidR="00F23D9E">
        <w:rPr>
          <w:lang w:val="fr-FR"/>
        </w:rPr>
        <w:t>’</w:t>
      </w:r>
      <w:r w:rsidRPr="00817233">
        <w:rPr>
          <w:lang w:val="fr-FR"/>
        </w:rPr>
        <w:t>entité partenaire</w:t>
      </w:r>
      <w:r w:rsidRPr="00200E3E">
        <w:rPr>
          <w:lang w:val="fr-FR"/>
        </w:rPr>
        <w:t xml:space="preserve"> et </w:t>
      </w:r>
      <w:r>
        <w:rPr>
          <w:lang w:val="fr-FR"/>
        </w:rPr>
        <w:t>c</w:t>
      </w:r>
      <w:r w:rsidR="00F23D9E">
        <w:rPr>
          <w:lang w:val="fr-FR"/>
        </w:rPr>
        <w:t>’</w:t>
      </w:r>
      <w:r>
        <w:rPr>
          <w:lang w:val="fr-FR"/>
        </w:rPr>
        <w:t>est à eux qu</w:t>
      </w:r>
      <w:r w:rsidR="00F23D9E">
        <w:rPr>
          <w:lang w:val="fr-FR"/>
        </w:rPr>
        <w:t>’</w:t>
      </w:r>
      <w:r>
        <w:rPr>
          <w:lang w:val="fr-FR"/>
        </w:rPr>
        <w:t>il incombe</w:t>
      </w:r>
      <w:r w:rsidRPr="00095460">
        <w:rPr>
          <w:highlight w:val="yellow"/>
          <w:lang w:val="fr-FR"/>
        </w:rPr>
        <w:t xml:space="preserve"> </w:t>
      </w:r>
      <w:r w:rsidRPr="005F49BD">
        <w:rPr>
          <w:lang w:val="fr-FR"/>
        </w:rPr>
        <w:t>de communiquer les demandes de services et de prendre en charge les frais connexes.</w:t>
      </w:r>
    </w:p>
    <w:p w14:paraId="4A6A26BB" w14:textId="0FE6F7C7" w:rsidR="00250B68" w:rsidRDefault="00250B68" w:rsidP="00250B68">
      <w:pPr>
        <w:pStyle w:val="SingleTxt"/>
        <w:numPr>
          <w:ilvl w:val="0"/>
          <w:numId w:val="30"/>
        </w:numPr>
        <w:spacing w:line="240" w:lineRule="exact"/>
        <w:rPr>
          <w:lang w:val="fr-FR"/>
        </w:rPr>
      </w:pPr>
      <w:r w:rsidRPr="00200E3E">
        <w:rPr>
          <w:lang w:val="fr-FR"/>
        </w:rPr>
        <w:t xml:space="preserve">Pour les réunions, conférences, manifestations ou expositions visées au paragraphe 4.4, une </w:t>
      </w:r>
      <w:r>
        <w:rPr>
          <w:lang w:val="fr-FR"/>
        </w:rPr>
        <w:t>m</w:t>
      </w:r>
      <w:r w:rsidRPr="00200E3E">
        <w:rPr>
          <w:lang w:val="fr-FR"/>
        </w:rPr>
        <w:t xml:space="preserve">ission permanente ou une </w:t>
      </w:r>
      <w:r>
        <w:rPr>
          <w:lang w:val="fr-FR"/>
        </w:rPr>
        <w:t>m</w:t>
      </w:r>
      <w:r w:rsidRPr="00200E3E">
        <w:rPr>
          <w:lang w:val="fr-FR"/>
        </w:rPr>
        <w:t>ission permanente d</w:t>
      </w:r>
      <w:r w:rsidR="00F23D9E">
        <w:rPr>
          <w:lang w:val="fr-FR"/>
        </w:rPr>
        <w:t>’</w:t>
      </w:r>
      <w:r w:rsidRPr="00200E3E">
        <w:rPr>
          <w:lang w:val="fr-FR"/>
        </w:rPr>
        <w:t>observation auprès de l</w:t>
      </w:r>
      <w:r w:rsidR="00F23D9E">
        <w:rPr>
          <w:lang w:val="fr-FR"/>
        </w:rPr>
        <w:t>’</w:t>
      </w:r>
      <w:r w:rsidRPr="00200E3E">
        <w:rPr>
          <w:lang w:val="fr-FR"/>
        </w:rPr>
        <w:t xml:space="preserve">Organisation des Nations Unies ou une </w:t>
      </w:r>
      <w:r>
        <w:rPr>
          <w:lang w:val="fr-FR"/>
        </w:rPr>
        <w:t>e</w:t>
      </w:r>
      <w:r w:rsidRPr="00200E3E">
        <w:rPr>
          <w:lang w:val="fr-FR"/>
        </w:rPr>
        <w:t>ntité des Nations Unies doit jouer le rôle d</w:t>
      </w:r>
      <w:r w:rsidR="00F23D9E">
        <w:rPr>
          <w:lang w:val="fr-FR"/>
        </w:rPr>
        <w:t>’</w:t>
      </w:r>
      <w:r>
        <w:rPr>
          <w:lang w:val="fr-FR"/>
        </w:rPr>
        <w:t>entité partenaire</w:t>
      </w:r>
      <w:r w:rsidR="00AF2E58">
        <w:rPr>
          <w:lang w:val="fr-FR"/>
        </w:rPr>
        <w:t>.</w:t>
      </w:r>
    </w:p>
    <w:p w14:paraId="30946A51" w14:textId="3D1BBAEF" w:rsidR="00250B68" w:rsidRDefault="00250B68" w:rsidP="00250B68">
      <w:pPr>
        <w:pStyle w:val="SingleTxt"/>
        <w:numPr>
          <w:ilvl w:val="0"/>
          <w:numId w:val="30"/>
        </w:numPr>
        <w:spacing w:line="240" w:lineRule="exact"/>
        <w:rPr>
          <w:lang w:val="fr-FR"/>
        </w:rPr>
      </w:pPr>
      <w:r w:rsidRPr="00200E3E">
        <w:rPr>
          <w:lang w:val="fr-FR"/>
        </w:rPr>
        <w:t xml:space="preserve">Toute réunion, conférence, manifestation </w:t>
      </w:r>
      <w:r>
        <w:rPr>
          <w:lang w:val="fr-FR"/>
        </w:rPr>
        <w:t>ou</w:t>
      </w:r>
      <w:r w:rsidRPr="00200E3E">
        <w:rPr>
          <w:lang w:val="fr-FR"/>
        </w:rPr>
        <w:t xml:space="preserve"> exposition organisée dans des espaces du Siège </w:t>
      </w:r>
      <w:r>
        <w:rPr>
          <w:lang w:val="fr-FR"/>
        </w:rPr>
        <w:t xml:space="preserve">qui sont </w:t>
      </w:r>
      <w:r w:rsidRPr="00200E3E">
        <w:rPr>
          <w:lang w:val="fr-FR"/>
        </w:rPr>
        <w:t>gérés par la Division de l</w:t>
      </w:r>
      <w:r w:rsidR="00F23D9E">
        <w:rPr>
          <w:lang w:val="fr-FR"/>
        </w:rPr>
        <w:t>’</w:t>
      </w:r>
      <w:r w:rsidRPr="00200E3E">
        <w:rPr>
          <w:lang w:val="fr-FR"/>
        </w:rPr>
        <w:t>administration</w:t>
      </w:r>
      <w:r w:rsidRPr="0072209C">
        <w:rPr>
          <w:lang w:val="fr-FR"/>
        </w:rPr>
        <w:t>,</w:t>
      </w:r>
      <w:r w:rsidRPr="00200E3E">
        <w:rPr>
          <w:lang w:val="fr-FR"/>
        </w:rPr>
        <w:t xml:space="preserve"> du Département de l</w:t>
      </w:r>
      <w:r w:rsidR="00F23D9E">
        <w:rPr>
          <w:lang w:val="fr-FR"/>
        </w:rPr>
        <w:t>’</w:t>
      </w:r>
      <w:r w:rsidRPr="00200E3E">
        <w:rPr>
          <w:lang w:val="fr-FR"/>
        </w:rPr>
        <w:t>appui opérationnel</w:t>
      </w:r>
      <w:r w:rsidRPr="0072209C">
        <w:rPr>
          <w:lang w:val="fr-FR"/>
        </w:rPr>
        <w:t>,</w:t>
      </w:r>
      <w:r w:rsidRPr="00200E3E">
        <w:rPr>
          <w:lang w:val="fr-FR"/>
        </w:rPr>
        <w:t xml:space="preserve"> doit être parrainée par une entité des Nations Unies, à moins qu</w:t>
      </w:r>
      <w:r w:rsidR="00F23D9E">
        <w:rPr>
          <w:lang w:val="fr-FR"/>
        </w:rPr>
        <w:t>’</w:t>
      </w:r>
      <w:r w:rsidRPr="00200E3E">
        <w:rPr>
          <w:lang w:val="fr-FR"/>
        </w:rPr>
        <w:t xml:space="preserve">elle ne soit parrainée par une </w:t>
      </w:r>
      <w:r>
        <w:rPr>
          <w:lang w:val="fr-FR"/>
        </w:rPr>
        <w:t>m</w:t>
      </w:r>
      <w:r w:rsidRPr="00200E3E">
        <w:rPr>
          <w:lang w:val="fr-FR"/>
        </w:rPr>
        <w:t xml:space="preserve">ission permanente ou une </w:t>
      </w:r>
      <w:r>
        <w:rPr>
          <w:lang w:val="fr-FR"/>
        </w:rPr>
        <w:t>m</w:t>
      </w:r>
      <w:r w:rsidRPr="00200E3E">
        <w:rPr>
          <w:lang w:val="fr-FR"/>
        </w:rPr>
        <w:t>ission permanente d</w:t>
      </w:r>
      <w:r w:rsidR="00F23D9E">
        <w:rPr>
          <w:lang w:val="fr-FR"/>
        </w:rPr>
        <w:t>’</w:t>
      </w:r>
      <w:r w:rsidRPr="00200E3E">
        <w:rPr>
          <w:lang w:val="fr-FR"/>
        </w:rPr>
        <w:t>observation.</w:t>
      </w:r>
    </w:p>
    <w:p w14:paraId="181DB308" w14:textId="77777777" w:rsidR="00250B68" w:rsidRPr="00200E3E" w:rsidRDefault="00250B68" w:rsidP="0090756B">
      <w:pPr>
        <w:pStyle w:val="SingleTxt"/>
        <w:spacing w:after="0" w:line="120" w:lineRule="exact"/>
        <w:rPr>
          <w:sz w:val="10"/>
          <w:lang w:val="fr-FR"/>
        </w:rPr>
      </w:pPr>
    </w:p>
    <w:p w14:paraId="53182D9D" w14:textId="77777777" w:rsidR="0090756B" w:rsidRPr="00200E3E" w:rsidRDefault="0090756B" w:rsidP="0090756B">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00E3E">
        <w:rPr>
          <w:lang w:val="fr-FR"/>
        </w:rPr>
        <w:tab/>
      </w:r>
      <w:r w:rsidRPr="00200E3E">
        <w:rPr>
          <w:lang w:val="fr-FR"/>
        </w:rPr>
        <w:tab/>
        <w:t xml:space="preserve">Attributions des </w:t>
      </w:r>
      <w:r>
        <w:rPr>
          <w:lang w:val="fr-FR"/>
        </w:rPr>
        <w:t>entités partenaires</w:t>
      </w:r>
    </w:p>
    <w:p w14:paraId="619AB17B" w14:textId="77777777" w:rsidR="0090756B" w:rsidRPr="00200E3E" w:rsidRDefault="0090756B" w:rsidP="0090756B">
      <w:pPr>
        <w:pStyle w:val="SingleTxt"/>
        <w:spacing w:after="0" w:line="120" w:lineRule="exact"/>
        <w:rPr>
          <w:sz w:val="10"/>
          <w:lang w:val="fr-FR"/>
        </w:rPr>
      </w:pPr>
    </w:p>
    <w:p w14:paraId="0697A689" w14:textId="6415F98B" w:rsidR="0090756B" w:rsidRPr="00200E3E" w:rsidRDefault="0090756B" w:rsidP="00250B68">
      <w:pPr>
        <w:pStyle w:val="SingleTxt"/>
        <w:numPr>
          <w:ilvl w:val="0"/>
          <w:numId w:val="27"/>
        </w:numPr>
        <w:rPr>
          <w:lang w:val="fr-FR"/>
        </w:rPr>
      </w:pPr>
      <w:r w:rsidRPr="00200E3E">
        <w:rPr>
          <w:lang w:val="fr-FR"/>
        </w:rPr>
        <w:t>Un</w:t>
      </w:r>
      <w:r>
        <w:rPr>
          <w:lang w:val="fr-FR"/>
        </w:rPr>
        <w:t>e entité partenaire</w:t>
      </w:r>
      <w:r w:rsidRPr="00200E3E">
        <w:rPr>
          <w:lang w:val="fr-FR"/>
        </w:rPr>
        <w:t xml:space="preserve"> a notamment les attributions suivantes</w:t>
      </w:r>
      <w:r w:rsidR="00F23D9E">
        <w:rPr>
          <w:lang w:val="fr-FR"/>
        </w:rPr>
        <w:t> :</w:t>
      </w:r>
    </w:p>
    <w:p w14:paraId="02DC8A00" w14:textId="00D4E3AF" w:rsidR="0090756B" w:rsidRPr="00200E3E" w:rsidRDefault="0090756B" w:rsidP="0090756B">
      <w:pPr>
        <w:pStyle w:val="SingleTxt"/>
        <w:rPr>
          <w:lang w:val="fr-FR"/>
        </w:rPr>
      </w:pPr>
      <w:r>
        <w:rPr>
          <w:lang w:val="fr-FR"/>
        </w:rPr>
        <w:tab/>
      </w:r>
      <w:r w:rsidRPr="00200E3E">
        <w:rPr>
          <w:lang w:val="fr-FR"/>
        </w:rPr>
        <w:t>a)</w:t>
      </w:r>
      <w:r w:rsidRPr="00200E3E">
        <w:rPr>
          <w:lang w:val="fr-FR"/>
        </w:rPr>
        <w:tab/>
        <w:t>Un</w:t>
      </w:r>
      <w:r>
        <w:rPr>
          <w:lang w:val="fr-FR"/>
        </w:rPr>
        <w:t>(e)</w:t>
      </w:r>
      <w:r w:rsidRPr="00200E3E">
        <w:rPr>
          <w:lang w:val="fr-FR"/>
        </w:rPr>
        <w:t xml:space="preserve"> représentant(e) d</w:t>
      </w:r>
      <w:r>
        <w:rPr>
          <w:lang w:val="fr-FR"/>
        </w:rPr>
        <w:t>e l</w:t>
      </w:r>
      <w:r w:rsidR="00F23D9E">
        <w:rPr>
          <w:lang w:val="fr-FR"/>
        </w:rPr>
        <w:t>’</w:t>
      </w:r>
      <w:r>
        <w:rPr>
          <w:lang w:val="fr-FR"/>
        </w:rPr>
        <w:t>entité partenaire</w:t>
      </w:r>
      <w:r w:rsidRPr="00200E3E">
        <w:rPr>
          <w:lang w:val="fr-FR"/>
        </w:rPr>
        <w:t xml:space="preserve"> doit présider en personne l</w:t>
      </w:r>
      <w:r w:rsidR="00F23D9E">
        <w:rPr>
          <w:lang w:val="fr-FR"/>
        </w:rPr>
        <w:t>’</w:t>
      </w:r>
      <w:r w:rsidRPr="00200E3E">
        <w:rPr>
          <w:lang w:val="fr-FR"/>
        </w:rPr>
        <w:t xml:space="preserve">intégralité de la manifestation. Lorsque ladite manifestation est parrainée par une </w:t>
      </w:r>
      <w:r>
        <w:rPr>
          <w:lang w:val="fr-FR"/>
        </w:rPr>
        <w:t>m</w:t>
      </w:r>
      <w:r w:rsidRPr="00200E3E">
        <w:rPr>
          <w:lang w:val="fr-FR"/>
        </w:rPr>
        <w:t xml:space="preserve">ission permanente ou une </w:t>
      </w:r>
      <w:r>
        <w:rPr>
          <w:lang w:val="fr-FR"/>
        </w:rPr>
        <w:t>m</w:t>
      </w:r>
      <w:r w:rsidRPr="00200E3E">
        <w:rPr>
          <w:lang w:val="fr-FR"/>
        </w:rPr>
        <w:t>ission permanente d</w:t>
      </w:r>
      <w:r w:rsidR="00F23D9E">
        <w:rPr>
          <w:lang w:val="fr-FR"/>
        </w:rPr>
        <w:t>’</w:t>
      </w:r>
      <w:r w:rsidRPr="00200E3E">
        <w:rPr>
          <w:lang w:val="fr-FR"/>
        </w:rPr>
        <w:t xml:space="preserve">observation, un </w:t>
      </w:r>
      <w:r>
        <w:rPr>
          <w:lang w:val="fr-FR"/>
        </w:rPr>
        <w:t xml:space="preserve">ou une </w:t>
      </w:r>
      <w:r w:rsidRPr="00200E3E">
        <w:rPr>
          <w:lang w:val="fr-FR"/>
        </w:rPr>
        <w:t xml:space="preserve">fonctionnaire de la </w:t>
      </w:r>
      <w:r>
        <w:rPr>
          <w:lang w:val="fr-FR"/>
        </w:rPr>
        <w:t>m</w:t>
      </w:r>
      <w:r w:rsidRPr="00200E3E">
        <w:rPr>
          <w:lang w:val="fr-FR"/>
        </w:rPr>
        <w:t xml:space="preserve">ission doit également </w:t>
      </w:r>
      <w:r>
        <w:rPr>
          <w:lang w:val="fr-FR"/>
        </w:rPr>
        <w:t>jouer le rôle de chargé(e) de</w:t>
      </w:r>
      <w:r w:rsidRPr="00200E3E">
        <w:rPr>
          <w:lang w:val="fr-FR"/>
        </w:rPr>
        <w:t xml:space="preserve"> liaison</w:t>
      </w:r>
      <w:r w:rsidR="00F23D9E">
        <w:rPr>
          <w:lang w:val="fr-FR"/>
        </w:rPr>
        <w:t> ;</w:t>
      </w:r>
    </w:p>
    <w:p w14:paraId="61A6C643" w14:textId="6C0A7BD4" w:rsidR="0090756B" w:rsidRPr="00200E3E" w:rsidRDefault="0090756B" w:rsidP="0090756B">
      <w:pPr>
        <w:pStyle w:val="SingleTxt"/>
        <w:rPr>
          <w:lang w:val="fr-FR"/>
        </w:rPr>
      </w:pPr>
      <w:r>
        <w:rPr>
          <w:lang w:val="fr-FR"/>
        </w:rPr>
        <w:tab/>
      </w:r>
      <w:r w:rsidRPr="00200E3E">
        <w:rPr>
          <w:lang w:val="fr-FR"/>
        </w:rPr>
        <w:t>b)</w:t>
      </w:r>
      <w:r w:rsidRPr="00200E3E">
        <w:rPr>
          <w:lang w:val="fr-FR"/>
        </w:rPr>
        <w:tab/>
      </w:r>
      <w:r>
        <w:rPr>
          <w:lang w:val="fr-FR"/>
        </w:rPr>
        <w:t>C</w:t>
      </w:r>
      <w:r w:rsidR="00F23D9E">
        <w:rPr>
          <w:lang w:val="fr-FR"/>
        </w:rPr>
        <w:t>’</w:t>
      </w:r>
      <w:r>
        <w:rPr>
          <w:lang w:val="fr-FR"/>
        </w:rPr>
        <w:t>est à l</w:t>
      </w:r>
      <w:r w:rsidR="00F23D9E">
        <w:rPr>
          <w:lang w:val="fr-FR"/>
        </w:rPr>
        <w:t>’</w:t>
      </w:r>
      <w:r>
        <w:rPr>
          <w:lang w:val="fr-FR"/>
        </w:rPr>
        <w:t>entité partenaire</w:t>
      </w:r>
      <w:r w:rsidRPr="00200E3E">
        <w:rPr>
          <w:lang w:val="fr-FR"/>
        </w:rPr>
        <w:t xml:space="preserve"> </w:t>
      </w:r>
      <w:r w:rsidRPr="005F49BD">
        <w:rPr>
          <w:lang w:val="fr-FR"/>
        </w:rPr>
        <w:t>qu</w:t>
      </w:r>
      <w:r w:rsidR="00F23D9E">
        <w:rPr>
          <w:lang w:val="fr-FR"/>
        </w:rPr>
        <w:t>’</w:t>
      </w:r>
      <w:r w:rsidRPr="005F49BD">
        <w:rPr>
          <w:lang w:val="fr-FR"/>
        </w:rPr>
        <w:t>il incombe de garantir</w:t>
      </w:r>
      <w:r w:rsidRPr="00200E3E">
        <w:rPr>
          <w:lang w:val="fr-FR"/>
        </w:rPr>
        <w:t xml:space="preserve"> que la teneur du programme est conforme aux principes et </w:t>
      </w:r>
      <w:r>
        <w:rPr>
          <w:lang w:val="fr-FR"/>
        </w:rPr>
        <w:t>buts</w:t>
      </w:r>
      <w:r w:rsidRPr="00200E3E">
        <w:rPr>
          <w:lang w:val="fr-FR"/>
        </w:rPr>
        <w:t xml:space="preserve"> des Nations Unies, conformément aux paragraphes 4.1 et 4.2</w:t>
      </w:r>
      <w:r w:rsidR="00F23D9E">
        <w:rPr>
          <w:lang w:val="fr-FR"/>
        </w:rPr>
        <w:t> ;</w:t>
      </w:r>
    </w:p>
    <w:p w14:paraId="5610F53F" w14:textId="7406A57A" w:rsidR="0090756B" w:rsidRPr="00200E3E" w:rsidRDefault="0090756B" w:rsidP="0090756B">
      <w:pPr>
        <w:pStyle w:val="SingleTxt"/>
        <w:rPr>
          <w:lang w:val="fr-FR"/>
        </w:rPr>
      </w:pPr>
      <w:r>
        <w:rPr>
          <w:lang w:val="fr-FR"/>
        </w:rPr>
        <w:tab/>
      </w:r>
      <w:r w:rsidRPr="00200E3E">
        <w:rPr>
          <w:lang w:val="fr-FR"/>
        </w:rPr>
        <w:t>c)</w:t>
      </w:r>
      <w:r w:rsidRPr="00200E3E">
        <w:rPr>
          <w:lang w:val="fr-FR"/>
        </w:rPr>
        <w:tab/>
      </w:r>
      <w:r>
        <w:rPr>
          <w:lang w:val="fr-FR"/>
        </w:rPr>
        <w:t>Les autres responsabilités qui incombent entièrement à l</w:t>
      </w:r>
      <w:r w:rsidR="00F23D9E">
        <w:rPr>
          <w:lang w:val="fr-FR"/>
        </w:rPr>
        <w:t>’</w:t>
      </w:r>
      <w:r>
        <w:rPr>
          <w:lang w:val="fr-FR"/>
        </w:rPr>
        <w:t>entité partenaire</w:t>
      </w:r>
      <w:r w:rsidRPr="00200E3E">
        <w:rPr>
          <w:lang w:val="fr-FR"/>
        </w:rPr>
        <w:t xml:space="preserve"> </w:t>
      </w:r>
      <w:r>
        <w:rPr>
          <w:lang w:val="fr-FR"/>
        </w:rPr>
        <w:t>consistent</w:t>
      </w:r>
      <w:r w:rsidRPr="00200E3E">
        <w:rPr>
          <w:lang w:val="fr-FR"/>
        </w:rPr>
        <w:t xml:space="preserve"> notamment </w:t>
      </w:r>
      <w:r>
        <w:rPr>
          <w:lang w:val="fr-FR"/>
        </w:rPr>
        <w:t xml:space="preserve">à vérifier </w:t>
      </w:r>
      <w:r w:rsidRPr="00200E3E">
        <w:rPr>
          <w:lang w:val="fr-FR"/>
        </w:rPr>
        <w:t xml:space="preserve">la liste des participants et toute information diffusée, publiquement ou non, </w:t>
      </w:r>
      <w:r>
        <w:rPr>
          <w:lang w:val="fr-FR"/>
        </w:rPr>
        <w:t>pour</w:t>
      </w:r>
      <w:r w:rsidRPr="00200E3E">
        <w:rPr>
          <w:lang w:val="fr-FR"/>
        </w:rPr>
        <w:t xml:space="preserve"> toute réunion, conférence ou manifestation, y compris lorsqu</w:t>
      </w:r>
      <w:r>
        <w:rPr>
          <w:lang w:val="fr-FR"/>
        </w:rPr>
        <w:t>e celle-ci</w:t>
      </w:r>
      <w:r w:rsidRPr="00200E3E">
        <w:rPr>
          <w:lang w:val="fr-FR"/>
        </w:rPr>
        <w:t xml:space="preserve"> est organisée par des entités </w:t>
      </w:r>
      <w:r>
        <w:rPr>
          <w:lang w:val="fr-FR"/>
        </w:rPr>
        <w:t>extérieures au système des</w:t>
      </w:r>
      <w:r w:rsidRPr="00200E3E">
        <w:rPr>
          <w:lang w:val="fr-FR"/>
        </w:rPr>
        <w:t xml:space="preserve"> Nations Unies</w:t>
      </w:r>
      <w:r>
        <w:rPr>
          <w:lang w:val="fr-FR"/>
        </w:rPr>
        <w:t>, à assurer la liaison</w:t>
      </w:r>
      <w:r w:rsidRPr="00200E3E">
        <w:rPr>
          <w:lang w:val="fr-FR"/>
        </w:rPr>
        <w:t xml:space="preserve"> avec les participants sur tout problème relatif à la réunion, conférence</w:t>
      </w:r>
      <w:r>
        <w:rPr>
          <w:lang w:val="fr-FR"/>
        </w:rPr>
        <w:t>,</w:t>
      </w:r>
      <w:r w:rsidRPr="00200E3E">
        <w:rPr>
          <w:lang w:val="fr-FR"/>
        </w:rPr>
        <w:t xml:space="preserve"> manifestation</w:t>
      </w:r>
      <w:r>
        <w:rPr>
          <w:lang w:val="fr-FR"/>
        </w:rPr>
        <w:t xml:space="preserve"> ou exposition</w:t>
      </w:r>
      <w:r w:rsidRPr="00200E3E">
        <w:rPr>
          <w:lang w:val="fr-FR"/>
        </w:rPr>
        <w:t xml:space="preserve">, </w:t>
      </w:r>
      <w:r>
        <w:rPr>
          <w:lang w:val="fr-FR"/>
        </w:rPr>
        <w:t xml:space="preserve">à définir </w:t>
      </w:r>
      <w:r w:rsidRPr="00200E3E">
        <w:rPr>
          <w:lang w:val="fr-FR"/>
        </w:rPr>
        <w:t>la teneur de l</w:t>
      </w:r>
      <w:r w:rsidR="00F23D9E">
        <w:rPr>
          <w:lang w:val="fr-FR"/>
        </w:rPr>
        <w:t>’</w:t>
      </w:r>
      <w:r w:rsidRPr="00200E3E">
        <w:rPr>
          <w:lang w:val="fr-FR"/>
        </w:rPr>
        <w:t xml:space="preserve">annonce publiée au </w:t>
      </w:r>
      <w:r w:rsidRPr="00C31F57">
        <w:rPr>
          <w:i/>
          <w:iCs/>
          <w:lang w:val="fr-FR"/>
        </w:rPr>
        <w:t>Journal des Nations Unies</w:t>
      </w:r>
      <w:r w:rsidRPr="00200E3E">
        <w:rPr>
          <w:lang w:val="fr-FR"/>
        </w:rPr>
        <w:t xml:space="preserve"> et </w:t>
      </w:r>
      <w:r>
        <w:rPr>
          <w:lang w:val="fr-FR"/>
        </w:rPr>
        <w:t xml:space="preserve">à prendre en charge </w:t>
      </w:r>
      <w:r w:rsidRPr="00200E3E">
        <w:rPr>
          <w:lang w:val="fr-FR"/>
        </w:rPr>
        <w:t>tous</w:t>
      </w:r>
      <w:r>
        <w:rPr>
          <w:lang w:val="fr-FR"/>
        </w:rPr>
        <w:t xml:space="preserve"> les</w:t>
      </w:r>
      <w:r w:rsidRPr="00200E3E">
        <w:rPr>
          <w:lang w:val="fr-FR"/>
        </w:rPr>
        <w:t xml:space="preserve"> frais associés à la fourniture de services aux réunions, conférences, manifestations ou expositions</w:t>
      </w:r>
      <w:r w:rsidR="00F23D9E">
        <w:rPr>
          <w:lang w:val="fr-FR"/>
        </w:rPr>
        <w:t> ;</w:t>
      </w:r>
    </w:p>
    <w:p w14:paraId="639D5ADC" w14:textId="340BD476" w:rsidR="0090756B" w:rsidRPr="00200E3E" w:rsidRDefault="0090756B" w:rsidP="0090756B">
      <w:pPr>
        <w:pStyle w:val="SingleTxt"/>
        <w:rPr>
          <w:lang w:val="fr-FR"/>
        </w:rPr>
      </w:pPr>
      <w:r>
        <w:rPr>
          <w:lang w:val="fr-FR"/>
        </w:rPr>
        <w:tab/>
      </w:r>
      <w:r w:rsidRPr="00200E3E">
        <w:rPr>
          <w:lang w:val="fr-FR"/>
        </w:rPr>
        <w:t>d)</w:t>
      </w:r>
      <w:r w:rsidRPr="00200E3E">
        <w:rPr>
          <w:lang w:val="fr-FR"/>
        </w:rPr>
        <w:tab/>
        <w:t>Le Comité des loisirs du personnel, en tant qu</w:t>
      </w:r>
      <w:r w:rsidR="00F23D9E">
        <w:rPr>
          <w:lang w:val="fr-FR"/>
        </w:rPr>
        <w:t>’</w:t>
      </w:r>
      <w:r>
        <w:rPr>
          <w:lang w:val="fr-FR"/>
        </w:rPr>
        <w:t>entité partenaire</w:t>
      </w:r>
      <w:r w:rsidRPr="00200E3E">
        <w:rPr>
          <w:lang w:val="fr-FR"/>
        </w:rPr>
        <w:t xml:space="preserve"> de</w:t>
      </w:r>
      <w:r>
        <w:rPr>
          <w:lang w:val="fr-FR"/>
        </w:rPr>
        <w:t xml:space="preserve"> </w:t>
      </w:r>
      <w:r w:rsidRPr="00200E3E">
        <w:rPr>
          <w:lang w:val="fr-FR"/>
        </w:rPr>
        <w:t>s</w:t>
      </w:r>
      <w:r>
        <w:rPr>
          <w:lang w:val="fr-FR"/>
        </w:rPr>
        <w:t>es</w:t>
      </w:r>
      <w:r w:rsidRPr="00200E3E">
        <w:rPr>
          <w:lang w:val="fr-FR"/>
        </w:rPr>
        <w:t xml:space="preserve"> clubs membres, doit présenter la demande et veiller </w:t>
      </w:r>
      <w:r>
        <w:rPr>
          <w:lang w:val="fr-FR"/>
        </w:rPr>
        <w:t xml:space="preserve">à ce </w:t>
      </w:r>
      <w:r w:rsidRPr="00200E3E">
        <w:rPr>
          <w:lang w:val="fr-FR"/>
        </w:rPr>
        <w:t xml:space="preserve">que les réunions, conférences, manifestations ou expositions </w:t>
      </w:r>
      <w:r>
        <w:rPr>
          <w:lang w:val="fr-FR"/>
        </w:rPr>
        <w:t>entrent dans le cadre des activités</w:t>
      </w:r>
      <w:r w:rsidRPr="00200E3E">
        <w:rPr>
          <w:lang w:val="fr-FR"/>
        </w:rPr>
        <w:t xml:space="preserve"> de </w:t>
      </w:r>
      <w:r w:rsidRPr="00200E3E">
        <w:rPr>
          <w:lang w:val="fr-FR"/>
        </w:rPr>
        <w:lastRenderedPageBreak/>
        <w:t xml:space="preserve">loisirs et </w:t>
      </w:r>
      <w:r>
        <w:rPr>
          <w:lang w:val="fr-FR"/>
        </w:rPr>
        <w:t xml:space="preserve">soient conformes </w:t>
      </w:r>
      <w:r w:rsidRPr="00200E3E">
        <w:rPr>
          <w:lang w:val="fr-FR"/>
        </w:rPr>
        <w:t>aux objectifs déclarés des</w:t>
      </w:r>
      <w:r>
        <w:rPr>
          <w:lang w:val="fr-FR"/>
        </w:rPr>
        <w:t>dits</w:t>
      </w:r>
      <w:r w:rsidRPr="00200E3E">
        <w:rPr>
          <w:lang w:val="fr-FR"/>
        </w:rPr>
        <w:t xml:space="preserve"> clubs. Le Comité est responsable du contenu du programme. Tout coût associé à la fourniture de services à la réunion, conférence, manifestation ou exposition </w:t>
      </w:r>
      <w:r>
        <w:rPr>
          <w:lang w:val="fr-FR"/>
        </w:rPr>
        <w:t>doit être</w:t>
      </w:r>
      <w:r w:rsidRPr="00200E3E">
        <w:rPr>
          <w:lang w:val="fr-FR"/>
        </w:rPr>
        <w:t xml:space="preserve"> pris en charge par </w:t>
      </w:r>
      <w:r>
        <w:rPr>
          <w:lang w:val="fr-FR"/>
        </w:rPr>
        <w:t>l</w:t>
      </w:r>
      <w:r w:rsidRPr="00200E3E">
        <w:rPr>
          <w:lang w:val="fr-FR"/>
        </w:rPr>
        <w:t>es clubs membres</w:t>
      </w:r>
      <w:r w:rsidR="00F23D9E">
        <w:rPr>
          <w:lang w:val="fr-FR"/>
        </w:rPr>
        <w:t> ;</w:t>
      </w:r>
    </w:p>
    <w:p w14:paraId="26B3961F" w14:textId="42B867DD" w:rsidR="0090756B" w:rsidRPr="00200E3E" w:rsidRDefault="0090756B" w:rsidP="0090756B">
      <w:pPr>
        <w:pStyle w:val="SingleTxt"/>
        <w:rPr>
          <w:lang w:val="fr-FR"/>
        </w:rPr>
      </w:pPr>
      <w:r>
        <w:rPr>
          <w:lang w:val="fr-FR"/>
        </w:rPr>
        <w:tab/>
      </w:r>
      <w:r w:rsidRPr="00200E3E">
        <w:rPr>
          <w:lang w:val="fr-FR"/>
        </w:rPr>
        <w:t>e)</w:t>
      </w:r>
      <w:r w:rsidRPr="00200E3E">
        <w:rPr>
          <w:lang w:val="fr-FR"/>
        </w:rPr>
        <w:tab/>
      </w:r>
      <w:r>
        <w:rPr>
          <w:lang w:val="fr-FR"/>
        </w:rPr>
        <w:t>En cas</w:t>
      </w:r>
      <w:r w:rsidRPr="00200E3E">
        <w:rPr>
          <w:lang w:val="fr-FR"/>
        </w:rPr>
        <w:t xml:space="preserve"> d</w:t>
      </w:r>
      <w:r w:rsidR="00F23D9E">
        <w:rPr>
          <w:lang w:val="fr-FR"/>
        </w:rPr>
        <w:t>’</w:t>
      </w:r>
      <w:r w:rsidRPr="00200E3E">
        <w:rPr>
          <w:lang w:val="fr-FR"/>
        </w:rPr>
        <w:t>utilisation des installations de conférence</w:t>
      </w:r>
      <w:r>
        <w:rPr>
          <w:lang w:val="fr-FR"/>
        </w:rPr>
        <w:t>,</w:t>
      </w:r>
      <w:r w:rsidRPr="00200E3E">
        <w:rPr>
          <w:lang w:val="fr-FR"/>
        </w:rPr>
        <w:t xml:space="preserve"> l</w:t>
      </w:r>
      <w:r w:rsidR="00F23D9E">
        <w:rPr>
          <w:lang w:val="fr-FR"/>
        </w:rPr>
        <w:t>’</w:t>
      </w:r>
      <w:r>
        <w:rPr>
          <w:lang w:val="fr-FR"/>
        </w:rPr>
        <w:t>entité partenaire</w:t>
      </w:r>
      <w:r w:rsidRPr="00200E3E">
        <w:rPr>
          <w:lang w:val="fr-FR"/>
        </w:rPr>
        <w:t xml:space="preserve"> assure la liaison avec le Département de l</w:t>
      </w:r>
      <w:r w:rsidR="00F23D9E">
        <w:rPr>
          <w:lang w:val="fr-FR"/>
        </w:rPr>
        <w:t>’</w:t>
      </w:r>
      <w:r w:rsidRPr="00200E3E">
        <w:rPr>
          <w:lang w:val="fr-FR"/>
        </w:rPr>
        <w:t xml:space="preserve">Assemblée générale et de la gestion des conférences et tout autre prestataire de services </w:t>
      </w:r>
      <w:r>
        <w:rPr>
          <w:lang w:val="fr-FR"/>
        </w:rPr>
        <w:t>concerné en vue de</w:t>
      </w:r>
      <w:r w:rsidRPr="00200E3E">
        <w:rPr>
          <w:lang w:val="fr-FR"/>
        </w:rPr>
        <w:t xml:space="preserve"> coord</w:t>
      </w:r>
      <w:r>
        <w:rPr>
          <w:lang w:val="fr-FR"/>
        </w:rPr>
        <w:t>onner</w:t>
      </w:r>
      <w:r w:rsidRPr="00200E3E">
        <w:rPr>
          <w:lang w:val="fr-FR"/>
        </w:rPr>
        <w:t xml:space="preserve"> tous</w:t>
      </w:r>
      <w:r>
        <w:rPr>
          <w:lang w:val="fr-FR"/>
        </w:rPr>
        <w:t xml:space="preserve"> les</w:t>
      </w:r>
      <w:r w:rsidRPr="00200E3E">
        <w:rPr>
          <w:lang w:val="fr-FR"/>
        </w:rPr>
        <w:t xml:space="preserve"> </w:t>
      </w:r>
      <w:r>
        <w:rPr>
          <w:lang w:val="fr-FR"/>
        </w:rPr>
        <w:t>aspects</w:t>
      </w:r>
      <w:r w:rsidRPr="00200E3E">
        <w:rPr>
          <w:lang w:val="fr-FR"/>
        </w:rPr>
        <w:t xml:space="preserve"> organisationnels et financiers</w:t>
      </w:r>
      <w:r w:rsidR="00F23D9E">
        <w:rPr>
          <w:lang w:val="fr-FR"/>
        </w:rPr>
        <w:t> ;</w:t>
      </w:r>
    </w:p>
    <w:p w14:paraId="5292E1D3" w14:textId="2F87DBDB" w:rsidR="0090756B" w:rsidRPr="00200E3E" w:rsidRDefault="0090756B" w:rsidP="0090756B">
      <w:pPr>
        <w:pStyle w:val="SingleTxt"/>
        <w:rPr>
          <w:lang w:val="fr-FR"/>
        </w:rPr>
      </w:pPr>
      <w:r>
        <w:rPr>
          <w:lang w:val="fr-FR"/>
        </w:rPr>
        <w:tab/>
      </w:r>
      <w:r w:rsidRPr="00200E3E">
        <w:rPr>
          <w:lang w:val="fr-FR"/>
        </w:rPr>
        <w:t>f)</w:t>
      </w:r>
      <w:r w:rsidRPr="00200E3E">
        <w:rPr>
          <w:lang w:val="fr-FR"/>
        </w:rPr>
        <w:tab/>
      </w:r>
      <w:r>
        <w:rPr>
          <w:lang w:val="fr-FR"/>
        </w:rPr>
        <w:t>En cas</w:t>
      </w:r>
      <w:r w:rsidRPr="00200E3E">
        <w:rPr>
          <w:lang w:val="fr-FR"/>
        </w:rPr>
        <w:t xml:space="preserve"> d</w:t>
      </w:r>
      <w:r w:rsidR="00F23D9E">
        <w:rPr>
          <w:lang w:val="fr-FR"/>
        </w:rPr>
        <w:t>’</w:t>
      </w:r>
      <w:r w:rsidRPr="00200E3E">
        <w:rPr>
          <w:lang w:val="fr-FR"/>
        </w:rPr>
        <w:t>utilisation d</w:t>
      </w:r>
      <w:r>
        <w:rPr>
          <w:lang w:val="fr-FR"/>
        </w:rPr>
        <w:t xml:space="preserve">e tout </w:t>
      </w:r>
      <w:r w:rsidRPr="00200E3E">
        <w:rPr>
          <w:lang w:val="fr-FR"/>
        </w:rPr>
        <w:t xml:space="preserve">espace dont la gestion est assurée par une entité </w:t>
      </w:r>
      <w:r>
        <w:rPr>
          <w:lang w:val="fr-FR"/>
        </w:rPr>
        <w:t>particulière</w:t>
      </w:r>
      <w:r w:rsidRPr="00200E3E">
        <w:rPr>
          <w:lang w:val="fr-FR"/>
        </w:rPr>
        <w:t>, l</w:t>
      </w:r>
      <w:r w:rsidR="00F23D9E">
        <w:rPr>
          <w:lang w:val="fr-FR"/>
        </w:rPr>
        <w:t>’</w:t>
      </w:r>
      <w:r>
        <w:rPr>
          <w:lang w:val="fr-FR"/>
        </w:rPr>
        <w:t>entité partenaire</w:t>
      </w:r>
      <w:r w:rsidRPr="00200E3E">
        <w:rPr>
          <w:lang w:val="fr-FR"/>
        </w:rPr>
        <w:t xml:space="preserve"> assure la coordination avec l</w:t>
      </w:r>
      <w:r w:rsidR="00F23D9E">
        <w:rPr>
          <w:lang w:val="fr-FR"/>
        </w:rPr>
        <w:t>’</w:t>
      </w:r>
      <w:r w:rsidRPr="00200E3E">
        <w:rPr>
          <w:lang w:val="fr-FR"/>
        </w:rPr>
        <w:t>entité chargée de la gestion et tout autre prestataire de service</w:t>
      </w:r>
      <w:r>
        <w:rPr>
          <w:lang w:val="fr-FR"/>
        </w:rPr>
        <w:t>s</w:t>
      </w:r>
      <w:r w:rsidRPr="00200E3E">
        <w:rPr>
          <w:lang w:val="fr-FR"/>
        </w:rPr>
        <w:t xml:space="preserve"> concerné en vue de coordonner tous</w:t>
      </w:r>
      <w:r>
        <w:rPr>
          <w:lang w:val="fr-FR"/>
        </w:rPr>
        <w:t xml:space="preserve"> les aspects</w:t>
      </w:r>
      <w:r w:rsidRPr="00200E3E">
        <w:rPr>
          <w:lang w:val="fr-FR"/>
        </w:rPr>
        <w:t xml:space="preserve"> organisationnels et financiers</w:t>
      </w:r>
      <w:r w:rsidR="00F23D9E">
        <w:rPr>
          <w:lang w:val="fr-FR"/>
        </w:rPr>
        <w:t> ;</w:t>
      </w:r>
    </w:p>
    <w:p w14:paraId="67EE4F31" w14:textId="43A0618C" w:rsidR="0090756B" w:rsidRPr="00200E3E" w:rsidRDefault="0090756B" w:rsidP="0090756B">
      <w:pPr>
        <w:pStyle w:val="SingleTxt"/>
        <w:rPr>
          <w:rFonts w:eastAsia="Times New Roman"/>
          <w:w w:val="100"/>
          <w:kern w:val="0"/>
          <w:lang w:val="fr-FR"/>
        </w:rPr>
      </w:pPr>
      <w:r>
        <w:rPr>
          <w:rFonts w:eastAsia="Times New Roman"/>
          <w:w w:val="100"/>
          <w:kern w:val="0"/>
          <w:lang w:val="fr-FR"/>
        </w:rPr>
        <w:tab/>
      </w:r>
      <w:r w:rsidRPr="00200E3E">
        <w:rPr>
          <w:rFonts w:eastAsia="Times New Roman"/>
          <w:w w:val="100"/>
          <w:kern w:val="0"/>
          <w:lang w:val="fr-FR"/>
        </w:rPr>
        <w:t>g)</w:t>
      </w:r>
      <w:r w:rsidRPr="00200E3E">
        <w:rPr>
          <w:rFonts w:eastAsia="Times New Roman"/>
          <w:w w:val="100"/>
          <w:kern w:val="0"/>
          <w:lang w:val="fr-FR"/>
        </w:rPr>
        <w:tab/>
      </w:r>
      <w:r>
        <w:rPr>
          <w:lang w:val="fr-FR"/>
        </w:rPr>
        <w:t xml:space="preserve">En cas </w:t>
      </w:r>
      <w:r w:rsidRPr="00200E3E">
        <w:rPr>
          <w:lang w:val="fr-FR"/>
        </w:rPr>
        <w:t>d</w:t>
      </w:r>
      <w:r w:rsidR="00F23D9E">
        <w:rPr>
          <w:lang w:val="fr-FR"/>
        </w:rPr>
        <w:t>’</w:t>
      </w:r>
      <w:r w:rsidRPr="00200E3E">
        <w:rPr>
          <w:lang w:val="fr-FR"/>
        </w:rPr>
        <w:t>utilisation d</w:t>
      </w:r>
      <w:r w:rsidR="00F23D9E">
        <w:rPr>
          <w:lang w:val="fr-FR"/>
        </w:rPr>
        <w:t>’</w:t>
      </w:r>
      <w:r w:rsidRPr="00200E3E">
        <w:rPr>
          <w:lang w:val="fr-FR"/>
        </w:rPr>
        <w:t>espaces d</w:t>
      </w:r>
      <w:r w:rsidR="00F23D9E">
        <w:rPr>
          <w:lang w:val="fr-FR"/>
        </w:rPr>
        <w:t>’</w:t>
      </w:r>
      <w:r w:rsidRPr="00200E3E">
        <w:rPr>
          <w:lang w:val="fr-FR"/>
        </w:rPr>
        <w:t>exposition accessibles au public, l</w:t>
      </w:r>
      <w:r w:rsidR="00F23D9E">
        <w:rPr>
          <w:lang w:val="fr-FR"/>
        </w:rPr>
        <w:t>’</w:t>
      </w:r>
      <w:r>
        <w:rPr>
          <w:lang w:val="fr-FR"/>
        </w:rPr>
        <w:t>entité partenaire</w:t>
      </w:r>
      <w:r w:rsidRPr="00200E3E">
        <w:rPr>
          <w:lang w:val="fr-FR"/>
        </w:rPr>
        <w:t xml:space="preserve"> assure la coordination avec le Comité des expositions et tout autre prestataire de service</w:t>
      </w:r>
      <w:r>
        <w:rPr>
          <w:lang w:val="fr-FR"/>
        </w:rPr>
        <w:t>s concerné</w:t>
      </w:r>
      <w:r w:rsidRPr="00200E3E">
        <w:rPr>
          <w:lang w:val="fr-FR"/>
        </w:rPr>
        <w:t>, conformément aux instruction</w:t>
      </w:r>
      <w:r>
        <w:rPr>
          <w:lang w:val="fr-FR"/>
        </w:rPr>
        <w:t>s</w:t>
      </w:r>
      <w:r w:rsidRPr="00200E3E">
        <w:rPr>
          <w:lang w:val="fr-FR"/>
        </w:rPr>
        <w:t xml:space="preserve"> du Comité,</w:t>
      </w:r>
      <w:r>
        <w:rPr>
          <w:lang w:val="fr-FR"/>
        </w:rPr>
        <w:t xml:space="preserve"> en vue de coordonner tous les aspects</w:t>
      </w:r>
      <w:r w:rsidRPr="00200E3E">
        <w:rPr>
          <w:lang w:val="fr-FR"/>
        </w:rPr>
        <w:t xml:space="preserve"> organisationnels et financiers</w:t>
      </w:r>
      <w:r w:rsidR="00F23D9E">
        <w:rPr>
          <w:lang w:val="fr-FR"/>
        </w:rPr>
        <w:t> ;</w:t>
      </w:r>
    </w:p>
    <w:p w14:paraId="3C60E816" w14:textId="5D139EF2" w:rsidR="0090756B" w:rsidRPr="00200E3E" w:rsidRDefault="0090756B" w:rsidP="0090756B">
      <w:pPr>
        <w:pStyle w:val="SingleTxt"/>
        <w:rPr>
          <w:lang w:val="fr-FR"/>
        </w:rPr>
      </w:pPr>
      <w:r>
        <w:rPr>
          <w:lang w:val="fr-FR"/>
        </w:rPr>
        <w:tab/>
      </w:r>
      <w:r w:rsidRPr="00200E3E">
        <w:rPr>
          <w:lang w:val="fr-FR"/>
        </w:rPr>
        <w:t>h)</w:t>
      </w:r>
      <w:r w:rsidRPr="00200E3E">
        <w:rPr>
          <w:lang w:val="fr-FR"/>
        </w:rPr>
        <w:tab/>
      </w:r>
      <w:r>
        <w:rPr>
          <w:lang w:val="fr-FR"/>
        </w:rPr>
        <w:t>En cas d</w:t>
      </w:r>
      <w:r w:rsidR="00F23D9E">
        <w:rPr>
          <w:lang w:val="fr-FR"/>
        </w:rPr>
        <w:t>’</w:t>
      </w:r>
      <w:r w:rsidRPr="00200E3E">
        <w:rPr>
          <w:lang w:val="fr-FR"/>
        </w:rPr>
        <w:t>utilisation de tou</w:t>
      </w:r>
      <w:r>
        <w:rPr>
          <w:lang w:val="fr-FR"/>
        </w:rPr>
        <w:t>t</w:t>
      </w:r>
      <w:r w:rsidRPr="00200E3E">
        <w:rPr>
          <w:lang w:val="fr-FR"/>
        </w:rPr>
        <w:t xml:space="preserve"> autre espace, l</w:t>
      </w:r>
      <w:r w:rsidR="00F23D9E">
        <w:rPr>
          <w:lang w:val="fr-FR"/>
        </w:rPr>
        <w:t>’</w:t>
      </w:r>
      <w:r>
        <w:rPr>
          <w:lang w:val="fr-FR"/>
        </w:rPr>
        <w:t>entité partenaire</w:t>
      </w:r>
      <w:r w:rsidRPr="00200E3E">
        <w:rPr>
          <w:lang w:val="fr-FR"/>
        </w:rPr>
        <w:t xml:space="preserve"> assure la </w:t>
      </w:r>
      <w:r>
        <w:rPr>
          <w:lang w:val="fr-FR"/>
        </w:rPr>
        <w:t>liaison</w:t>
      </w:r>
      <w:r w:rsidRPr="00200E3E">
        <w:rPr>
          <w:lang w:val="fr-FR"/>
        </w:rPr>
        <w:t xml:space="preserve"> avec la Division de l</w:t>
      </w:r>
      <w:r w:rsidR="00F23D9E">
        <w:rPr>
          <w:lang w:val="fr-FR"/>
        </w:rPr>
        <w:t>’</w:t>
      </w:r>
      <w:r w:rsidRPr="00200E3E">
        <w:rPr>
          <w:lang w:val="fr-FR"/>
        </w:rPr>
        <w:t>administration</w:t>
      </w:r>
      <w:r>
        <w:rPr>
          <w:lang w:val="fr-FR"/>
        </w:rPr>
        <w:t>,</w:t>
      </w:r>
      <w:r w:rsidRPr="00200E3E">
        <w:rPr>
          <w:lang w:val="fr-FR"/>
        </w:rPr>
        <w:t xml:space="preserve"> du Département de l</w:t>
      </w:r>
      <w:r w:rsidR="00F23D9E">
        <w:rPr>
          <w:lang w:val="fr-FR"/>
        </w:rPr>
        <w:t>’</w:t>
      </w:r>
      <w:r w:rsidRPr="00200E3E">
        <w:rPr>
          <w:lang w:val="fr-FR"/>
        </w:rPr>
        <w:t>appui opérationnel</w:t>
      </w:r>
      <w:r>
        <w:rPr>
          <w:lang w:val="fr-FR"/>
        </w:rPr>
        <w:t>,</w:t>
      </w:r>
      <w:r w:rsidRPr="00200E3E">
        <w:rPr>
          <w:lang w:val="fr-FR"/>
        </w:rPr>
        <w:t xml:space="preserve"> et tout autre prestataire de services concerné</w:t>
      </w:r>
      <w:r>
        <w:rPr>
          <w:lang w:val="fr-FR"/>
        </w:rPr>
        <w:t>, en vue de coordonner tous les aspects</w:t>
      </w:r>
      <w:r w:rsidRPr="00200E3E">
        <w:rPr>
          <w:lang w:val="fr-FR"/>
        </w:rPr>
        <w:t xml:space="preserve"> organisationnels et financiers</w:t>
      </w:r>
      <w:r w:rsidR="00F23D9E">
        <w:rPr>
          <w:lang w:val="fr-FR"/>
        </w:rPr>
        <w:t> ;</w:t>
      </w:r>
    </w:p>
    <w:p w14:paraId="6CB4734C" w14:textId="17A45D40" w:rsidR="0090756B" w:rsidRPr="00200E3E" w:rsidRDefault="0090756B" w:rsidP="0090756B">
      <w:pPr>
        <w:pStyle w:val="SingleTxt"/>
        <w:rPr>
          <w:lang w:val="fr-FR"/>
        </w:rPr>
      </w:pPr>
      <w:r>
        <w:rPr>
          <w:lang w:val="fr-FR"/>
        </w:rPr>
        <w:tab/>
      </w:r>
      <w:r w:rsidRPr="00200E3E">
        <w:rPr>
          <w:lang w:val="fr-FR"/>
        </w:rPr>
        <w:t>i)</w:t>
      </w:r>
      <w:r w:rsidRPr="00200E3E">
        <w:rPr>
          <w:lang w:val="fr-FR"/>
        </w:rPr>
        <w:tab/>
      </w:r>
      <w:r>
        <w:rPr>
          <w:lang w:val="fr-FR"/>
        </w:rPr>
        <w:t>L</w:t>
      </w:r>
      <w:r w:rsidR="00F23D9E">
        <w:rPr>
          <w:lang w:val="fr-FR"/>
        </w:rPr>
        <w:t>’</w:t>
      </w:r>
      <w:r>
        <w:rPr>
          <w:lang w:val="fr-FR"/>
        </w:rPr>
        <w:t>entité partenaire</w:t>
      </w:r>
      <w:r w:rsidRPr="00200E3E">
        <w:rPr>
          <w:lang w:val="fr-FR"/>
        </w:rPr>
        <w:t xml:space="preserve"> doit fournir à l</w:t>
      </w:r>
      <w:r w:rsidR="00F23D9E">
        <w:rPr>
          <w:lang w:val="fr-FR"/>
        </w:rPr>
        <w:t>’</w:t>
      </w:r>
      <w:r w:rsidRPr="00200E3E">
        <w:rPr>
          <w:lang w:val="fr-FR"/>
        </w:rPr>
        <w:t xml:space="preserve">entité chargée de la gestion toute information utile sur tout coorganisateur </w:t>
      </w:r>
      <w:r>
        <w:rPr>
          <w:lang w:val="fr-FR"/>
        </w:rPr>
        <w:t>extérieur au système des</w:t>
      </w:r>
      <w:r w:rsidRPr="00200E3E">
        <w:rPr>
          <w:lang w:val="fr-FR"/>
        </w:rPr>
        <w:t xml:space="preserve"> Nations Unies</w:t>
      </w:r>
      <w:r w:rsidR="00F23D9E">
        <w:rPr>
          <w:lang w:val="fr-FR"/>
        </w:rPr>
        <w:t> ;</w:t>
      </w:r>
    </w:p>
    <w:p w14:paraId="61B82C9C" w14:textId="2C3D015C" w:rsidR="0090756B" w:rsidRPr="00200E3E" w:rsidRDefault="0090756B" w:rsidP="0090756B">
      <w:pPr>
        <w:pStyle w:val="SingleTxt"/>
        <w:rPr>
          <w:lang w:val="fr-FR"/>
        </w:rPr>
      </w:pPr>
      <w:r>
        <w:rPr>
          <w:lang w:val="fr-FR"/>
        </w:rPr>
        <w:tab/>
      </w:r>
      <w:r w:rsidRPr="00200E3E">
        <w:rPr>
          <w:lang w:val="fr-FR"/>
        </w:rPr>
        <w:t>j)</w:t>
      </w:r>
      <w:r w:rsidRPr="00200E3E">
        <w:rPr>
          <w:lang w:val="fr-FR"/>
        </w:rPr>
        <w:tab/>
        <w:t xml:space="preserve">Il incombe </w:t>
      </w:r>
      <w:r>
        <w:rPr>
          <w:lang w:val="fr-FR"/>
        </w:rPr>
        <w:t>à l</w:t>
      </w:r>
      <w:r w:rsidR="00F23D9E">
        <w:rPr>
          <w:lang w:val="fr-FR"/>
        </w:rPr>
        <w:t>’</w:t>
      </w:r>
      <w:r>
        <w:rPr>
          <w:lang w:val="fr-FR"/>
        </w:rPr>
        <w:t>entité partenaire</w:t>
      </w:r>
      <w:r w:rsidRPr="00200E3E">
        <w:rPr>
          <w:lang w:val="fr-FR"/>
        </w:rPr>
        <w:t xml:space="preserve"> de veiller à ce que les installations soient </w:t>
      </w:r>
      <w:r>
        <w:rPr>
          <w:lang w:val="fr-FR"/>
        </w:rPr>
        <w:t>remises dans</w:t>
      </w:r>
      <w:r w:rsidRPr="00200E3E">
        <w:rPr>
          <w:lang w:val="fr-FR"/>
        </w:rPr>
        <w:t xml:space="preserve"> leur état initial immédiatement après utilisation</w:t>
      </w:r>
      <w:r w:rsidR="00F23D9E">
        <w:rPr>
          <w:lang w:val="fr-FR"/>
        </w:rPr>
        <w:t> ;</w:t>
      </w:r>
    </w:p>
    <w:p w14:paraId="71943C34" w14:textId="68B7F6E2" w:rsidR="0090756B" w:rsidRPr="00200E3E" w:rsidRDefault="0090756B" w:rsidP="0090756B">
      <w:pPr>
        <w:pStyle w:val="SingleTxt"/>
        <w:rPr>
          <w:lang w:val="fr-FR"/>
        </w:rPr>
      </w:pPr>
      <w:r>
        <w:rPr>
          <w:lang w:val="fr-FR"/>
        </w:rPr>
        <w:tab/>
      </w:r>
      <w:r w:rsidRPr="00200E3E">
        <w:rPr>
          <w:lang w:val="fr-FR"/>
        </w:rPr>
        <w:t>k)</w:t>
      </w:r>
      <w:r w:rsidRPr="00200E3E">
        <w:rPr>
          <w:lang w:val="fr-FR"/>
        </w:rPr>
        <w:tab/>
        <w:t>L</w:t>
      </w:r>
      <w:r w:rsidR="00F23D9E">
        <w:rPr>
          <w:lang w:val="fr-FR"/>
        </w:rPr>
        <w:t>’</w:t>
      </w:r>
      <w:r>
        <w:rPr>
          <w:lang w:val="fr-FR"/>
        </w:rPr>
        <w:t>entité partenaire</w:t>
      </w:r>
      <w:r w:rsidRPr="00200E3E">
        <w:rPr>
          <w:lang w:val="fr-FR"/>
        </w:rPr>
        <w:t xml:space="preserve"> doit être conscient</w:t>
      </w:r>
      <w:r>
        <w:rPr>
          <w:lang w:val="fr-FR"/>
        </w:rPr>
        <w:t>e</w:t>
      </w:r>
      <w:r w:rsidRPr="00200E3E">
        <w:rPr>
          <w:lang w:val="fr-FR"/>
        </w:rPr>
        <w:t xml:space="preserve"> qu</w:t>
      </w:r>
      <w:r w:rsidR="00F23D9E">
        <w:rPr>
          <w:lang w:val="fr-FR"/>
        </w:rPr>
        <w:t>’</w:t>
      </w:r>
      <w:r>
        <w:rPr>
          <w:lang w:val="fr-FR"/>
        </w:rPr>
        <w:t>en cas de</w:t>
      </w:r>
      <w:r w:rsidRPr="00200E3E">
        <w:rPr>
          <w:lang w:val="fr-FR"/>
        </w:rPr>
        <w:t xml:space="preserve"> </w:t>
      </w:r>
      <w:r>
        <w:rPr>
          <w:lang w:val="fr-FR"/>
        </w:rPr>
        <w:t xml:space="preserve">variation sensible par rapport à </w:t>
      </w:r>
      <w:r w:rsidRPr="00200E3E">
        <w:rPr>
          <w:lang w:val="fr-FR"/>
        </w:rPr>
        <w:t>l</w:t>
      </w:r>
      <w:r w:rsidR="00F23D9E">
        <w:rPr>
          <w:lang w:val="fr-FR"/>
        </w:rPr>
        <w:t>’</w:t>
      </w:r>
      <w:r w:rsidRPr="00200E3E">
        <w:rPr>
          <w:lang w:val="fr-FR"/>
        </w:rPr>
        <w:t xml:space="preserve">objet, </w:t>
      </w:r>
      <w:r>
        <w:rPr>
          <w:lang w:val="fr-FR"/>
        </w:rPr>
        <w:t>à</w:t>
      </w:r>
      <w:r w:rsidRPr="00200E3E">
        <w:rPr>
          <w:lang w:val="fr-FR"/>
        </w:rPr>
        <w:t xml:space="preserve"> l</w:t>
      </w:r>
      <w:r w:rsidR="00F23D9E">
        <w:rPr>
          <w:lang w:val="fr-FR"/>
        </w:rPr>
        <w:t>’</w:t>
      </w:r>
      <w:r w:rsidRPr="00200E3E">
        <w:rPr>
          <w:lang w:val="fr-FR"/>
        </w:rPr>
        <w:t xml:space="preserve">ordre du jour </w:t>
      </w:r>
      <w:r>
        <w:rPr>
          <w:lang w:val="fr-FR"/>
        </w:rPr>
        <w:t>ou à</w:t>
      </w:r>
      <w:r w:rsidRPr="00200E3E">
        <w:rPr>
          <w:lang w:val="fr-FR"/>
        </w:rPr>
        <w:t xml:space="preserve"> la teneur du programme tels qu</w:t>
      </w:r>
      <w:r w:rsidR="00F23D9E">
        <w:rPr>
          <w:lang w:val="fr-FR"/>
        </w:rPr>
        <w:t>’</w:t>
      </w:r>
      <w:r>
        <w:rPr>
          <w:lang w:val="fr-FR"/>
        </w:rPr>
        <w:t>ils ont été</w:t>
      </w:r>
      <w:r w:rsidRPr="00200E3E">
        <w:rPr>
          <w:lang w:val="fr-FR"/>
        </w:rPr>
        <w:t xml:space="preserve"> préalablement approuvés</w:t>
      </w:r>
      <w:r>
        <w:rPr>
          <w:lang w:val="fr-FR"/>
        </w:rPr>
        <w:t>,</w:t>
      </w:r>
      <w:r w:rsidRPr="00200E3E">
        <w:rPr>
          <w:lang w:val="fr-FR"/>
        </w:rPr>
        <w:t xml:space="preserve"> un nouveau processus d</w:t>
      </w:r>
      <w:r w:rsidR="00F23D9E">
        <w:rPr>
          <w:lang w:val="fr-FR"/>
        </w:rPr>
        <w:t>’</w:t>
      </w:r>
      <w:r w:rsidRPr="00200E3E">
        <w:rPr>
          <w:lang w:val="fr-FR"/>
        </w:rPr>
        <w:t>examen et d</w:t>
      </w:r>
      <w:r w:rsidR="00F23D9E">
        <w:rPr>
          <w:lang w:val="fr-FR"/>
        </w:rPr>
        <w:t>’</w:t>
      </w:r>
      <w:r w:rsidRPr="00200E3E">
        <w:rPr>
          <w:lang w:val="fr-FR"/>
        </w:rPr>
        <w:t>approbation</w:t>
      </w:r>
      <w:r>
        <w:rPr>
          <w:lang w:val="fr-FR"/>
        </w:rPr>
        <w:t xml:space="preserve"> doit être engagé</w:t>
      </w:r>
      <w:r w:rsidRPr="00200E3E">
        <w:rPr>
          <w:lang w:val="fr-FR"/>
        </w:rPr>
        <w:t>.</w:t>
      </w:r>
    </w:p>
    <w:p w14:paraId="5ED6876E" w14:textId="1DC70998" w:rsidR="0090756B" w:rsidRPr="00200E3E" w:rsidRDefault="0090756B" w:rsidP="00250B68">
      <w:pPr>
        <w:pStyle w:val="SingleTxt"/>
        <w:numPr>
          <w:ilvl w:val="0"/>
          <w:numId w:val="27"/>
        </w:numPr>
        <w:spacing w:line="240" w:lineRule="exact"/>
        <w:rPr>
          <w:lang w:val="fr-FR"/>
        </w:rPr>
      </w:pPr>
      <w:r w:rsidRPr="00200E3E">
        <w:rPr>
          <w:lang w:val="fr-FR"/>
        </w:rPr>
        <w:t>Tout organisateur de réunions, conférences, manifestations ou expositions dans les salles de conférence doit veiller à ce que la salle</w:t>
      </w:r>
      <w:r>
        <w:rPr>
          <w:lang w:val="fr-FR"/>
        </w:rPr>
        <w:t xml:space="preserve"> en question</w:t>
      </w:r>
      <w:r w:rsidRPr="00200E3E">
        <w:rPr>
          <w:lang w:val="fr-FR"/>
        </w:rPr>
        <w:t xml:space="preserve"> soit libérée à temps pour permettre la préparation des réunions suivantes.</w:t>
      </w:r>
    </w:p>
    <w:p w14:paraId="67168091" w14:textId="5A5286FE" w:rsidR="0090756B" w:rsidRPr="00200E3E" w:rsidRDefault="0090756B" w:rsidP="00250B68">
      <w:pPr>
        <w:pStyle w:val="SingleTxt"/>
        <w:numPr>
          <w:ilvl w:val="0"/>
          <w:numId w:val="27"/>
        </w:numPr>
        <w:spacing w:line="240" w:lineRule="exact"/>
        <w:rPr>
          <w:lang w:val="fr-FR"/>
        </w:rPr>
      </w:pPr>
      <w:r w:rsidRPr="00200E3E">
        <w:rPr>
          <w:lang w:val="fr-FR"/>
        </w:rPr>
        <w:t>S</w:t>
      </w:r>
      <w:r w:rsidR="00F23D9E">
        <w:rPr>
          <w:lang w:val="fr-FR"/>
        </w:rPr>
        <w:t>’</w:t>
      </w:r>
      <w:r w:rsidRPr="00200E3E">
        <w:rPr>
          <w:lang w:val="fr-FR"/>
        </w:rPr>
        <w:t>il s</w:t>
      </w:r>
      <w:r w:rsidR="00F23D9E">
        <w:rPr>
          <w:lang w:val="fr-FR"/>
        </w:rPr>
        <w:t>’</w:t>
      </w:r>
      <w:r w:rsidRPr="00200E3E">
        <w:rPr>
          <w:lang w:val="fr-FR"/>
        </w:rPr>
        <w:t>av</w:t>
      </w:r>
      <w:r>
        <w:rPr>
          <w:lang w:val="fr-FR"/>
        </w:rPr>
        <w:t>ère</w:t>
      </w:r>
      <w:r w:rsidRPr="00200E3E">
        <w:rPr>
          <w:lang w:val="fr-FR"/>
        </w:rPr>
        <w:t xml:space="preserve"> qu</w:t>
      </w:r>
      <w:r w:rsidR="00F23D9E">
        <w:rPr>
          <w:lang w:val="fr-FR"/>
        </w:rPr>
        <w:t>’</w:t>
      </w:r>
      <w:r w:rsidRPr="00200E3E">
        <w:rPr>
          <w:lang w:val="fr-FR"/>
        </w:rPr>
        <w:t>un</w:t>
      </w:r>
      <w:r>
        <w:rPr>
          <w:lang w:val="fr-FR"/>
        </w:rPr>
        <w:t>e entité partenaire</w:t>
      </w:r>
      <w:r w:rsidRPr="00200E3E">
        <w:rPr>
          <w:lang w:val="fr-FR"/>
        </w:rPr>
        <w:t xml:space="preserve"> </w:t>
      </w:r>
      <w:r>
        <w:rPr>
          <w:lang w:val="fr-FR"/>
        </w:rPr>
        <w:t xml:space="preserve">a pour seul rôle </w:t>
      </w:r>
      <w:r w:rsidRPr="00200E3E">
        <w:rPr>
          <w:lang w:val="fr-FR"/>
        </w:rPr>
        <w:t>de faciliter l</w:t>
      </w:r>
      <w:r w:rsidR="00F23D9E">
        <w:rPr>
          <w:lang w:val="fr-FR"/>
        </w:rPr>
        <w:t>’</w:t>
      </w:r>
      <w:r w:rsidRPr="00200E3E">
        <w:rPr>
          <w:lang w:val="fr-FR"/>
        </w:rPr>
        <w:t>utilisation des locaux de l</w:t>
      </w:r>
      <w:r w:rsidR="00F23D9E">
        <w:rPr>
          <w:lang w:val="fr-FR"/>
        </w:rPr>
        <w:t>’</w:t>
      </w:r>
      <w:r w:rsidRPr="00200E3E">
        <w:rPr>
          <w:lang w:val="fr-FR"/>
        </w:rPr>
        <w:t>Organisation par une organisation externe, l</w:t>
      </w:r>
      <w:r w:rsidR="00F23D9E">
        <w:rPr>
          <w:lang w:val="fr-FR"/>
        </w:rPr>
        <w:t>’</w:t>
      </w:r>
      <w:r w:rsidRPr="00200E3E">
        <w:rPr>
          <w:lang w:val="fr-FR"/>
        </w:rPr>
        <w:t>approbation de la réunion, conférence, manifestation ou exposition est</w:t>
      </w:r>
      <w:r>
        <w:rPr>
          <w:lang w:val="fr-FR"/>
        </w:rPr>
        <w:t xml:space="preserve"> alors</w:t>
      </w:r>
      <w:r w:rsidRPr="00200E3E">
        <w:rPr>
          <w:lang w:val="fr-FR"/>
        </w:rPr>
        <w:t xml:space="preserve"> retirée.</w:t>
      </w:r>
    </w:p>
    <w:p w14:paraId="654F334F" w14:textId="77777777" w:rsidR="0090756B" w:rsidRPr="00200E3E" w:rsidRDefault="0090756B" w:rsidP="0090756B">
      <w:pPr>
        <w:pStyle w:val="SingleTxt"/>
        <w:spacing w:after="0" w:line="120" w:lineRule="exact"/>
        <w:rPr>
          <w:sz w:val="10"/>
          <w:lang w:val="fr-FR"/>
        </w:rPr>
      </w:pPr>
    </w:p>
    <w:p w14:paraId="2A704879"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7</w:t>
      </w:r>
    </w:p>
    <w:p w14:paraId="30991D94"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Coût des réunions, conférences, manifestations et expositions</w:t>
      </w:r>
    </w:p>
    <w:p w14:paraId="7D108583" w14:textId="77777777" w:rsidR="0090756B" w:rsidRPr="00200E3E" w:rsidRDefault="0090756B" w:rsidP="0090756B">
      <w:pPr>
        <w:pStyle w:val="SingleTxt"/>
        <w:spacing w:after="0" w:line="120" w:lineRule="exact"/>
        <w:rPr>
          <w:sz w:val="10"/>
          <w:lang w:val="fr-FR"/>
        </w:rPr>
      </w:pPr>
    </w:p>
    <w:p w14:paraId="7DDEEF1E" w14:textId="5E1675EB" w:rsidR="0090756B" w:rsidRPr="00200E3E" w:rsidRDefault="0090756B" w:rsidP="00250B68">
      <w:pPr>
        <w:pStyle w:val="SingleTxt"/>
        <w:numPr>
          <w:ilvl w:val="0"/>
          <w:numId w:val="28"/>
        </w:numPr>
        <w:rPr>
          <w:lang w:val="fr-FR"/>
        </w:rPr>
      </w:pPr>
      <w:r>
        <w:rPr>
          <w:lang w:val="fr-FR"/>
        </w:rPr>
        <w:t>Il incombe en dernier ressort à l</w:t>
      </w:r>
      <w:r w:rsidR="00F23D9E">
        <w:rPr>
          <w:lang w:val="fr-FR"/>
        </w:rPr>
        <w:t>’</w:t>
      </w:r>
      <w:r>
        <w:rPr>
          <w:lang w:val="fr-FR"/>
        </w:rPr>
        <w:t>entité partenaire</w:t>
      </w:r>
      <w:r w:rsidRPr="00200E3E">
        <w:rPr>
          <w:lang w:val="fr-FR"/>
        </w:rPr>
        <w:t xml:space="preserve"> de prendre en charge tout coût relatif aux réunions, conférences, manifestations et expositions, notamment les coûts prévus aux paragraphes 7.2 à 7.4, </w:t>
      </w:r>
      <w:r w:rsidRPr="0005378D">
        <w:rPr>
          <w:lang w:val="fr-FR"/>
        </w:rPr>
        <w:t>sauf pour les services habituellement fournis aux réunions et conférences visées au paragraphe 3.2</w:t>
      </w:r>
      <w:r w:rsidRPr="00200E3E">
        <w:rPr>
          <w:lang w:val="fr-FR"/>
        </w:rPr>
        <w:t>.</w:t>
      </w:r>
    </w:p>
    <w:p w14:paraId="6C884DE7" w14:textId="397D63E3" w:rsidR="0090756B" w:rsidRPr="00200E3E" w:rsidRDefault="0090756B" w:rsidP="00250B68">
      <w:pPr>
        <w:pStyle w:val="SingleTxt"/>
        <w:numPr>
          <w:ilvl w:val="0"/>
          <w:numId w:val="28"/>
        </w:numPr>
        <w:spacing w:line="240" w:lineRule="exact"/>
        <w:rPr>
          <w:lang w:val="fr-FR"/>
        </w:rPr>
      </w:pPr>
      <w:r w:rsidRPr="00200E3E">
        <w:rPr>
          <w:lang w:val="fr-FR"/>
        </w:rPr>
        <w:t>Lorsqu</w:t>
      </w:r>
      <w:r w:rsidR="00F23D9E">
        <w:rPr>
          <w:lang w:val="fr-FR"/>
        </w:rPr>
        <w:t>’</w:t>
      </w:r>
      <w:r w:rsidRPr="00200E3E">
        <w:rPr>
          <w:lang w:val="fr-FR"/>
        </w:rPr>
        <w:t xml:space="preserve">une réunion, conférence, manifestation ou exposition requiert que des </w:t>
      </w:r>
      <w:r>
        <w:rPr>
          <w:lang w:val="fr-FR"/>
        </w:rPr>
        <w:t>fonctionnaires</w:t>
      </w:r>
      <w:r w:rsidRPr="00200E3E">
        <w:rPr>
          <w:lang w:val="fr-FR"/>
        </w:rPr>
        <w:t xml:space="preserve"> ou des </w:t>
      </w:r>
      <w:r>
        <w:rPr>
          <w:lang w:val="fr-FR"/>
        </w:rPr>
        <w:t>membres du personnel contractuel</w:t>
      </w:r>
      <w:r w:rsidRPr="00200E3E">
        <w:rPr>
          <w:lang w:val="fr-FR"/>
        </w:rPr>
        <w:t xml:space="preserve"> des Nations Unies abandonnent leurs fonctions habituelles pour fournir les services demandés, ou si des </w:t>
      </w:r>
      <w:r>
        <w:rPr>
          <w:lang w:val="fr-FR"/>
        </w:rPr>
        <w:t xml:space="preserve">services doivent être rémunérés en </w:t>
      </w:r>
      <w:r w:rsidRPr="00200E3E">
        <w:rPr>
          <w:lang w:val="fr-FR"/>
        </w:rPr>
        <w:t xml:space="preserve">heures supplémentaires </w:t>
      </w:r>
      <w:r>
        <w:rPr>
          <w:lang w:val="fr-FR"/>
        </w:rPr>
        <w:t>parce qu</w:t>
      </w:r>
      <w:r w:rsidR="00F23D9E">
        <w:rPr>
          <w:lang w:val="fr-FR"/>
        </w:rPr>
        <w:t>’</w:t>
      </w:r>
      <w:r>
        <w:rPr>
          <w:lang w:val="fr-FR"/>
        </w:rPr>
        <w:t>ils</w:t>
      </w:r>
      <w:r w:rsidRPr="00200E3E">
        <w:rPr>
          <w:lang w:val="fr-FR"/>
        </w:rPr>
        <w:t xml:space="preserve"> sont fournis pendant l</w:t>
      </w:r>
      <w:r w:rsidR="00F23D9E">
        <w:rPr>
          <w:lang w:val="fr-FR"/>
        </w:rPr>
        <w:t>’</w:t>
      </w:r>
      <w:r w:rsidRPr="00200E3E">
        <w:rPr>
          <w:lang w:val="fr-FR"/>
        </w:rPr>
        <w:t>heure du déjeuner ou en dehors de</w:t>
      </w:r>
      <w:r>
        <w:rPr>
          <w:lang w:val="fr-FR"/>
        </w:rPr>
        <w:t xml:space="preserve"> l</w:t>
      </w:r>
      <w:r w:rsidR="00F23D9E">
        <w:rPr>
          <w:lang w:val="fr-FR"/>
        </w:rPr>
        <w:t>’</w:t>
      </w:r>
      <w:r>
        <w:rPr>
          <w:lang w:val="fr-FR"/>
        </w:rPr>
        <w:t>horaire</w:t>
      </w:r>
      <w:r w:rsidRPr="00200E3E">
        <w:rPr>
          <w:lang w:val="fr-FR"/>
        </w:rPr>
        <w:t xml:space="preserve"> de travail </w:t>
      </w:r>
      <w:r>
        <w:rPr>
          <w:lang w:val="fr-FR"/>
        </w:rPr>
        <w:t>normal</w:t>
      </w:r>
      <w:r w:rsidRPr="00200E3E">
        <w:rPr>
          <w:lang w:val="fr-FR"/>
        </w:rPr>
        <w:t xml:space="preserve">, </w:t>
      </w:r>
      <w:r>
        <w:rPr>
          <w:lang w:val="fr-FR"/>
        </w:rPr>
        <w:t>l</w:t>
      </w:r>
      <w:r w:rsidRPr="00200E3E">
        <w:rPr>
          <w:lang w:val="fr-FR"/>
        </w:rPr>
        <w:t>es coûts</w:t>
      </w:r>
      <w:r>
        <w:rPr>
          <w:lang w:val="fr-FR"/>
        </w:rPr>
        <w:t xml:space="preserve"> qui en résultent</w:t>
      </w:r>
      <w:r w:rsidRPr="00200E3E">
        <w:rPr>
          <w:lang w:val="fr-FR"/>
        </w:rPr>
        <w:t xml:space="preserve"> </w:t>
      </w:r>
      <w:r>
        <w:rPr>
          <w:lang w:val="fr-FR"/>
        </w:rPr>
        <w:t>doivent être</w:t>
      </w:r>
      <w:r w:rsidRPr="00200E3E">
        <w:rPr>
          <w:lang w:val="fr-FR"/>
        </w:rPr>
        <w:t xml:space="preserve"> </w:t>
      </w:r>
      <w:r>
        <w:rPr>
          <w:lang w:val="fr-FR"/>
        </w:rPr>
        <w:t>pris en charge par l</w:t>
      </w:r>
      <w:r w:rsidR="00F23D9E">
        <w:rPr>
          <w:lang w:val="fr-FR"/>
        </w:rPr>
        <w:t>’</w:t>
      </w:r>
      <w:r>
        <w:rPr>
          <w:lang w:val="fr-FR"/>
        </w:rPr>
        <w:t>entité partenaire</w:t>
      </w:r>
      <w:r w:rsidRPr="00200E3E">
        <w:rPr>
          <w:lang w:val="fr-FR"/>
        </w:rPr>
        <w:t>.</w:t>
      </w:r>
    </w:p>
    <w:p w14:paraId="4421886F" w14:textId="00977A4A" w:rsidR="0090756B" w:rsidRPr="00200E3E" w:rsidRDefault="0090756B" w:rsidP="00250B68">
      <w:pPr>
        <w:pStyle w:val="SingleTxt"/>
        <w:numPr>
          <w:ilvl w:val="0"/>
          <w:numId w:val="28"/>
        </w:numPr>
        <w:spacing w:line="240" w:lineRule="exact"/>
        <w:rPr>
          <w:lang w:val="fr-FR"/>
        </w:rPr>
      </w:pPr>
      <w:r>
        <w:rPr>
          <w:lang w:val="fr-FR"/>
        </w:rPr>
        <w:lastRenderedPageBreak/>
        <w:t>L</w:t>
      </w:r>
      <w:r w:rsidR="00F23D9E">
        <w:rPr>
          <w:lang w:val="fr-FR"/>
        </w:rPr>
        <w:t>’</w:t>
      </w:r>
      <w:r>
        <w:rPr>
          <w:lang w:val="fr-FR"/>
        </w:rPr>
        <w:t>entité partenaire supporte également t</w:t>
      </w:r>
      <w:r w:rsidRPr="00200E3E">
        <w:rPr>
          <w:lang w:val="fr-FR"/>
        </w:rPr>
        <w:t xml:space="preserve">ous les coûts relatifs à la fourniture de tout service supplémentaire nécessaire à la </w:t>
      </w:r>
      <w:r>
        <w:rPr>
          <w:lang w:val="fr-FR"/>
        </w:rPr>
        <w:t>tenue</w:t>
      </w:r>
      <w:r w:rsidRPr="00200E3E">
        <w:rPr>
          <w:lang w:val="fr-FR"/>
        </w:rPr>
        <w:t xml:space="preserve"> de la réunion, conférence, manifestation ou exposition.</w:t>
      </w:r>
    </w:p>
    <w:p w14:paraId="557BEB5B" w14:textId="1107094D" w:rsidR="0090756B" w:rsidRPr="00200E3E" w:rsidRDefault="0090756B" w:rsidP="00250B68">
      <w:pPr>
        <w:pStyle w:val="SingleTxt"/>
        <w:numPr>
          <w:ilvl w:val="0"/>
          <w:numId w:val="28"/>
        </w:numPr>
        <w:spacing w:line="240" w:lineRule="exact"/>
        <w:rPr>
          <w:lang w:val="fr-FR"/>
        </w:rPr>
      </w:pPr>
      <w:r>
        <w:rPr>
          <w:lang w:val="fr-FR"/>
        </w:rPr>
        <w:t>Il incombe en outre à l</w:t>
      </w:r>
      <w:r w:rsidR="00F23D9E">
        <w:rPr>
          <w:lang w:val="fr-FR"/>
        </w:rPr>
        <w:t>’</w:t>
      </w:r>
      <w:r>
        <w:rPr>
          <w:lang w:val="fr-FR"/>
        </w:rPr>
        <w:t>entité partenaire de régler</w:t>
      </w:r>
      <w:r w:rsidRPr="00200E3E">
        <w:rPr>
          <w:lang w:val="fr-FR"/>
        </w:rPr>
        <w:t xml:space="preserve"> tous les frais </w:t>
      </w:r>
      <w:r>
        <w:rPr>
          <w:lang w:val="fr-FR"/>
        </w:rPr>
        <w:t>relatifs à la réparation de</w:t>
      </w:r>
      <w:r w:rsidRPr="00200E3E">
        <w:rPr>
          <w:lang w:val="fr-FR"/>
        </w:rPr>
        <w:t xml:space="preserve"> dommages causés aux biens de l</w:t>
      </w:r>
      <w:r w:rsidR="00F23D9E">
        <w:rPr>
          <w:lang w:val="fr-FR"/>
        </w:rPr>
        <w:t>’</w:t>
      </w:r>
      <w:r w:rsidRPr="00200E3E">
        <w:rPr>
          <w:lang w:val="fr-FR"/>
        </w:rPr>
        <w:t>ONU</w:t>
      </w:r>
      <w:r w:rsidR="007D74EF">
        <w:rPr>
          <w:lang w:val="fr-FR"/>
        </w:rPr>
        <w:t>,</w:t>
      </w:r>
      <w:r w:rsidRPr="00200E3E">
        <w:rPr>
          <w:lang w:val="fr-FR"/>
        </w:rPr>
        <w:t xml:space="preserve"> pendant la réunion, conférence, manifestation ou exposition, par l</w:t>
      </w:r>
      <w:r w:rsidR="00F23D9E">
        <w:rPr>
          <w:lang w:val="fr-FR"/>
        </w:rPr>
        <w:t>’</w:t>
      </w:r>
      <w:r w:rsidR="0072209C">
        <w:rPr>
          <w:lang w:val="fr-FR"/>
        </w:rPr>
        <w:t>o</w:t>
      </w:r>
      <w:r w:rsidRPr="0072209C">
        <w:rPr>
          <w:lang w:val="fr-FR"/>
        </w:rPr>
        <w:t>rganisateur</w:t>
      </w:r>
      <w:r w:rsidRPr="00200E3E">
        <w:rPr>
          <w:lang w:val="fr-FR"/>
        </w:rPr>
        <w:t xml:space="preserve"> qu</w:t>
      </w:r>
      <w:r w:rsidR="00F23D9E">
        <w:rPr>
          <w:lang w:val="fr-FR"/>
        </w:rPr>
        <w:t>’</w:t>
      </w:r>
      <w:r>
        <w:rPr>
          <w:lang w:val="fr-FR"/>
        </w:rPr>
        <w:t>elle</w:t>
      </w:r>
      <w:r w:rsidRPr="00200E3E">
        <w:rPr>
          <w:lang w:val="fr-FR"/>
        </w:rPr>
        <w:t xml:space="preserve"> a parrainé ou par le personnel ou les invités de l</w:t>
      </w:r>
      <w:r w:rsidR="00F23D9E">
        <w:rPr>
          <w:lang w:val="fr-FR"/>
        </w:rPr>
        <w:t>’</w:t>
      </w:r>
      <w:r w:rsidR="007D74EF">
        <w:rPr>
          <w:lang w:val="fr-FR"/>
        </w:rPr>
        <w:t>o</w:t>
      </w:r>
      <w:r w:rsidRPr="00200E3E">
        <w:rPr>
          <w:lang w:val="fr-FR"/>
        </w:rPr>
        <w:t>rganisateur.</w:t>
      </w:r>
    </w:p>
    <w:p w14:paraId="0E00E485" w14:textId="3E513838" w:rsidR="0090756B" w:rsidRPr="00200E3E" w:rsidRDefault="0090756B" w:rsidP="00250B68">
      <w:pPr>
        <w:pStyle w:val="SingleTxt"/>
        <w:numPr>
          <w:ilvl w:val="0"/>
          <w:numId w:val="28"/>
        </w:numPr>
        <w:spacing w:line="240" w:lineRule="exact"/>
        <w:rPr>
          <w:lang w:val="fr-FR"/>
        </w:rPr>
      </w:pPr>
      <w:r w:rsidRPr="00200E3E">
        <w:rPr>
          <w:lang w:val="fr-FR"/>
        </w:rPr>
        <w:t>En cas de manquement d</w:t>
      </w:r>
      <w:r>
        <w:rPr>
          <w:lang w:val="fr-FR"/>
        </w:rPr>
        <w:t>e l</w:t>
      </w:r>
      <w:r w:rsidR="00F23D9E">
        <w:rPr>
          <w:lang w:val="fr-FR"/>
        </w:rPr>
        <w:t>’</w:t>
      </w:r>
      <w:r>
        <w:rPr>
          <w:lang w:val="fr-FR"/>
        </w:rPr>
        <w:t>entité partenaire</w:t>
      </w:r>
      <w:r w:rsidRPr="00200E3E">
        <w:rPr>
          <w:lang w:val="fr-FR"/>
        </w:rPr>
        <w:t xml:space="preserve"> à </w:t>
      </w:r>
      <w:r>
        <w:rPr>
          <w:lang w:val="fr-FR"/>
        </w:rPr>
        <w:t>régler</w:t>
      </w:r>
      <w:r w:rsidRPr="00200E3E">
        <w:rPr>
          <w:lang w:val="fr-FR"/>
        </w:rPr>
        <w:t xml:space="preserve"> l</w:t>
      </w:r>
      <w:r w:rsidR="00F23D9E">
        <w:rPr>
          <w:lang w:val="fr-FR"/>
        </w:rPr>
        <w:t>’</w:t>
      </w:r>
      <w:r>
        <w:rPr>
          <w:lang w:val="fr-FR"/>
        </w:rPr>
        <w:t xml:space="preserve">intégralité des frais relatifs à </w:t>
      </w:r>
      <w:r w:rsidRPr="00200E3E">
        <w:rPr>
          <w:lang w:val="fr-FR"/>
        </w:rPr>
        <w:t>une réunion, conférence, manifestation ou exposition, toute future demande sera rejetée jusqu</w:t>
      </w:r>
      <w:r w:rsidR="00F23D9E">
        <w:rPr>
          <w:lang w:val="fr-FR"/>
        </w:rPr>
        <w:t>’</w:t>
      </w:r>
      <w:r>
        <w:rPr>
          <w:lang w:val="fr-FR"/>
        </w:rPr>
        <w:t>à ce que le montant dû soit acquitté</w:t>
      </w:r>
      <w:r w:rsidRPr="00200E3E">
        <w:rPr>
          <w:lang w:val="fr-FR"/>
        </w:rPr>
        <w:t>.</w:t>
      </w:r>
    </w:p>
    <w:p w14:paraId="534B695A" w14:textId="55FC8239" w:rsidR="0090756B" w:rsidRPr="00200E3E" w:rsidRDefault="0090756B" w:rsidP="00250B68">
      <w:pPr>
        <w:pStyle w:val="SingleTxt"/>
        <w:numPr>
          <w:ilvl w:val="0"/>
          <w:numId w:val="28"/>
        </w:numPr>
        <w:spacing w:line="240" w:lineRule="exact"/>
        <w:rPr>
          <w:lang w:val="fr-FR"/>
        </w:rPr>
      </w:pPr>
      <w:r w:rsidRPr="00200E3E">
        <w:rPr>
          <w:lang w:val="fr-FR"/>
        </w:rPr>
        <w:t xml:space="preserve">Si une réunion, conférence, manifestation ou exposition </w:t>
      </w:r>
      <w:r>
        <w:rPr>
          <w:lang w:val="fr-FR"/>
        </w:rPr>
        <w:t>doit</w:t>
      </w:r>
      <w:r w:rsidRPr="00200E3E">
        <w:rPr>
          <w:lang w:val="fr-FR"/>
        </w:rPr>
        <w:t xml:space="preserve"> être annulée en raison d</w:t>
      </w:r>
      <w:r w:rsidR="00F23D9E">
        <w:rPr>
          <w:lang w:val="fr-FR"/>
        </w:rPr>
        <w:t>’</w:t>
      </w:r>
      <w:r w:rsidRPr="00200E3E">
        <w:rPr>
          <w:lang w:val="fr-FR"/>
        </w:rPr>
        <w:t>une urgence ou de circonstances imprévues, l</w:t>
      </w:r>
      <w:r w:rsidR="00F23D9E">
        <w:rPr>
          <w:lang w:val="fr-FR"/>
        </w:rPr>
        <w:t>’</w:t>
      </w:r>
      <w:r w:rsidRPr="00200E3E">
        <w:rPr>
          <w:lang w:val="fr-FR"/>
        </w:rPr>
        <w:t xml:space="preserve">ONU ne peut être tenue pour responsable de </w:t>
      </w:r>
      <w:r w:rsidRPr="005F49BD">
        <w:rPr>
          <w:lang w:val="fr-FR"/>
        </w:rPr>
        <w:t xml:space="preserve">tout coût supplémentaire qui </w:t>
      </w:r>
      <w:r>
        <w:rPr>
          <w:lang w:val="fr-FR"/>
        </w:rPr>
        <w:t>peut</w:t>
      </w:r>
      <w:r w:rsidRPr="005F49BD">
        <w:rPr>
          <w:lang w:val="fr-FR"/>
        </w:rPr>
        <w:t xml:space="preserve"> en résulter</w:t>
      </w:r>
      <w:r>
        <w:rPr>
          <w:lang w:val="fr-FR"/>
        </w:rPr>
        <w:t xml:space="preserve"> pour l</w:t>
      </w:r>
      <w:r w:rsidR="00F23D9E">
        <w:rPr>
          <w:lang w:val="fr-FR"/>
        </w:rPr>
        <w:t>’</w:t>
      </w:r>
      <w:r>
        <w:rPr>
          <w:lang w:val="fr-FR"/>
        </w:rPr>
        <w:t>entité partenaire</w:t>
      </w:r>
      <w:r w:rsidRPr="00200E3E">
        <w:rPr>
          <w:lang w:val="fr-FR"/>
        </w:rPr>
        <w:t xml:space="preserve"> ou tout </w:t>
      </w:r>
      <w:r>
        <w:rPr>
          <w:lang w:val="fr-FR"/>
        </w:rPr>
        <w:t>c</w:t>
      </w:r>
      <w:r w:rsidRPr="00200E3E">
        <w:rPr>
          <w:lang w:val="fr-FR"/>
        </w:rPr>
        <w:t>oorganisateur.</w:t>
      </w:r>
    </w:p>
    <w:p w14:paraId="49D73E69" w14:textId="77777777" w:rsidR="0090756B" w:rsidRPr="00200E3E" w:rsidRDefault="0090756B" w:rsidP="0090756B">
      <w:pPr>
        <w:pStyle w:val="SingleTxt"/>
        <w:spacing w:after="0"/>
        <w:rPr>
          <w:sz w:val="10"/>
          <w:szCs w:val="10"/>
          <w:lang w:val="fr-FR"/>
        </w:rPr>
      </w:pPr>
    </w:p>
    <w:p w14:paraId="61821EE7"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8</w:t>
      </w:r>
    </w:p>
    <w:p w14:paraId="57E87F2D"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Assurance</w:t>
      </w:r>
      <w:r w:rsidRPr="00200E3E">
        <w:rPr>
          <w:lang w:val="fr-FR"/>
        </w:rPr>
        <w:t xml:space="preserve"> </w:t>
      </w:r>
    </w:p>
    <w:p w14:paraId="0D63B379" w14:textId="77777777" w:rsidR="0090756B" w:rsidRPr="00200E3E" w:rsidRDefault="0090756B" w:rsidP="0090756B">
      <w:pPr>
        <w:pStyle w:val="SingleTxt"/>
        <w:spacing w:after="0" w:line="120" w:lineRule="exact"/>
        <w:rPr>
          <w:sz w:val="10"/>
          <w:lang w:val="fr-FR"/>
        </w:rPr>
      </w:pPr>
    </w:p>
    <w:p w14:paraId="44E8DF6E" w14:textId="531CA7D6" w:rsidR="0090756B" w:rsidRPr="00200E3E" w:rsidRDefault="0090756B" w:rsidP="0090756B">
      <w:pPr>
        <w:pStyle w:val="SingleTxt"/>
        <w:spacing w:after="0"/>
        <w:rPr>
          <w:lang w:val="fr-FR"/>
        </w:rPr>
      </w:pPr>
      <w:r w:rsidRPr="00200E3E">
        <w:rPr>
          <w:lang w:val="fr-FR"/>
        </w:rPr>
        <w:tab/>
        <w:t xml:space="preserve">Pour la plupart des réunions, conférences, manifestations ou expositions tenues pour une entité </w:t>
      </w:r>
      <w:r>
        <w:rPr>
          <w:lang w:val="fr-FR"/>
        </w:rPr>
        <w:t>extérieure au système des</w:t>
      </w:r>
      <w:r w:rsidRPr="00200E3E">
        <w:rPr>
          <w:lang w:val="fr-FR"/>
        </w:rPr>
        <w:t xml:space="preserve"> Nations Unies ou avec sa participation, et lorsque ladite entité est soit un </w:t>
      </w:r>
      <w:r>
        <w:rPr>
          <w:lang w:val="fr-FR"/>
        </w:rPr>
        <w:t>o</w:t>
      </w:r>
      <w:r w:rsidRPr="00200E3E">
        <w:rPr>
          <w:lang w:val="fr-FR"/>
        </w:rPr>
        <w:t xml:space="preserve">rganisateur soit un </w:t>
      </w:r>
      <w:r>
        <w:rPr>
          <w:lang w:val="fr-FR"/>
        </w:rPr>
        <w:t>c</w:t>
      </w:r>
      <w:r w:rsidRPr="00200E3E">
        <w:rPr>
          <w:lang w:val="fr-FR"/>
        </w:rPr>
        <w:t xml:space="preserve">oorganisateur </w:t>
      </w:r>
      <w:r w:rsidRPr="005F49BD">
        <w:rPr>
          <w:lang w:val="fr-FR"/>
        </w:rPr>
        <w:t>conformément à un accord écrit tel qu</w:t>
      </w:r>
      <w:r w:rsidR="00F23D9E">
        <w:rPr>
          <w:lang w:val="fr-FR"/>
        </w:rPr>
        <w:t>’</w:t>
      </w:r>
      <w:r>
        <w:rPr>
          <w:lang w:val="fr-FR"/>
        </w:rPr>
        <w:t>un</w:t>
      </w:r>
      <w:r w:rsidRPr="00200E3E">
        <w:rPr>
          <w:lang w:val="fr-FR"/>
        </w:rPr>
        <w:t xml:space="preserve"> contrat ou mémorandum d</w:t>
      </w:r>
      <w:r w:rsidR="00F23D9E">
        <w:rPr>
          <w:lang w:val="fr-FR"/>
        </w:rPr>
        <w:t>’</w:t>
      </w:r>
      <w:r w:rsidRPr="00200E3E">
        <w:rPr>
          <w:lang w:val="fr-FR"/>
        </w:rPr>
        <w:t>accord, l</w:t>
      </w:r>
      <w:r w:rsidR="00F23D9E">
        <w:rPr>
          <w:lang w:val="fr-FR"/>
        </w:rPr>
        <w:t>’</w:t>
      </w:r>
      <w:r>
        <w:rPr>
          <w:lang w:val="fr-FR"/>
        </w:rPr>
        <w:t>entité partenaire</w:t>
      </w:r>
      <w:r w:rsidRPr="00200E3E">
        <w:rPr>
          <w:lang w:val="fr-FR"/>
        </w:rPr>
        <w:t xml:space="preserve"> est tenu</w:t>
      </w:r>
      <w:r>
        <w:rPr>
          <w:lang w:val="fr-FR"/>
        </w:rPr>
        <w:t>e</w:t>
      </w:r>
      <w:r w:rsidRPr="00200E3E">
        <w:rPr>
          <w:lang w:val="fr-FR"/>
        </w:rPr>
        <w:t xml:space="preserve"> d</w:t>
      </w:r>
      <w:r w:rsidR="00F23D9E">
        <w:rPr>
          <w:lang w:val="fr-FR"/>
        </w:rPr>
        <w:t>’</w:t>
      </w:r>
      <w:r w:rsidRPr="00200E3E">
        <w:rPr>
          <w:lang w:val="fr-FR"/>
        </w:rPr>
        <w:t>obtenir une autorisation de la Section de la gestion des risques et des indemnisations de la Division des finances, du Département des stratégies et politiques de gestion et de la conformité. À cette fin, l</w:t>
      </w:r>
      <w:r w:rsidR="00F23D9E">
        <w:rPr>
          <w:lang w:val="fr-FR"/>
        </w:rPr>
        <w:t>’</w:t>
      </w:r>
      <w:r>
        <w:rPr>
          <w:lang w:val="fr-FR"/>
        </w:rPr>
        <w:t>entité partenaire</w:t>
      </w:r>
      <w:r w:rsidRPr="00200E3E">
        <w:rPr>
          <w:lang w:val="fr-FR"/>
        </w:rPr>
        <w:t xml:space="preserve"> doit fournir à la Division de l</w:t>
      </w:r>
      <w:r w:rsidR="00F23D9E">
        <w:rPr>
          <w:lang w:val="fr-FR"/>
        </w:rPr>
        <w:t>’</w:t>
      </w:r>
      <w:r w:rsidRPr="00200E3E">
        <w:rPr>
          <w:lang w:val="fr-FR"/>
        </w:rPr>
        <w:t>administration</w:t>
      </w:r>
      <w:r>
        <w:rPr>
          <w:lang w:val="fr-FR"/>
        </w:rPr>
        <w:t>, du</w:t>
      </w:r>
      <w:r w:rsidRPr="00200E3E">
        <w:rPr>
          <w:lang w:val="fr-FR"/>
        </w:rPr>
        <w:t xml:space="preserve"> Département de l</w:t>
      </w:r>
      <w:r w:rsidR="00F23D9E">
        <w:rPr>
          <w:lang w:val="fr-FR"/>
        </w:rPr>
        <w:t>’</w:t>
      </w:r>
      <w:r w:rsidRPr="00200E3E">
        <w:rPr>
          <w:lang w:val="fr-FR"/>
        </w:rPr>
        <w:t>appui opérationnel, un certificat d</w:t>
      </w:r>
      <w:r w:rsidR="00F23D9E">
        <w:rPr>
          <w:lang w:val="fr-FR"/>
        </w:rPr>
        <w:t>’</w:t>
      </w:r>
      <w:r w:rsidRPr="00200E3E">
        <w:rPr>
          <w:lang w:val="fr-FR"/>
        </w:rPr>
        <w:t xml:space="preserve">assurance conforme aux </w:t>
      </w:r>
      <w:r>
        <w:rPr>
          <w:lang w:val="fr-FR"/>
        </w:rPr>
        <w:t>dispositions applicables du</w:t>
      </w:r>
      <w:r w:rsidRPr="00200E3E">
        <w:rPr>
          <w:lang w:val="fr-FR"/>
        </w:rPr>
        <w:t xml:space="preserve"> contrat ou </w:t>
      </w:r>
      <w:r>
        <w:rPr>
          <w:lang w:val="fr-FR"/>
        </w:rPr>
        <w:t>du</w:t>
      </w:r>
      <w:r w:rsidRPr="00200E3E">
        <w:rPr>
          <w:lang w:val="fr-FR"/>
        </w:rPr>
        <w:t xml:space="preserve"> mémorandum d</w:t>
      </w:r>
      <w:r w:rsidR="00F23D9E">
        <w:rPr>
          <w:lang w:val="fr-FR"/>
        </w:rPr>
        <w:t>’</w:t>
      </w:r>
      <w:r w:rsidRPr="00200E3E">
        <w:rPr>
          <w:lang w:val="fr-FR"/>
        </w:rPr>
        <w:t>accord. La Division de l</w:t>
      </w:r>
      <w:r w:rsidR="00F23D9E">
        <w:rPr>
          <w:lang w:val="fr-FR"/>
        </w:rPr>
        <w:t>’</w:t>
      </w:r>
      <w:r w:rsidRPr="00200E3E">
        <w:rPr>
          <w:lang w:val="fr-FR"/>
        </w:rPr>
        <w:t xml:space="preserve">administration transmet </w:t>
      </w:r>
      <w:r>
        <w:rPr>
          <w:lang w:val="fr-FR"/>
        </w:rPr>
        <w:t xml:space="preserve">ensuite </w:t>
      </w:r>
      <w:r w:rsidRPr="00200E3E">
        <w:rPr>
          <w:lang w:val="fr-FR"/>
        </w:rPr>
        <w:t>le certificat d</w:t>
      </w:r>
      <w:r w:rsidR="00F23D9E">
        <w:rPr>
          <w:lang w:val="fr-FR"/>
        </w:rPr>
        <w:t>’</w:t>
      </w:r>
      <w:r w:rsidRPr="00200E3E">
        <w:rPr>
          <w:lang w:val="fr-FR"/>
        </w:rPr>
        <w:t>assurance à la Section de la gestion des risques et des indemnisations pour examen et approbation</w:t>
      </w:r>
      <w:r>
        <w:rPr>
          <w:lang w:val="fr-FR"/>
        </w:rPr>
        <w:t xml:space="preserve">, qui doit le recevoir </w:t>
      </w:r>
      <w:r w:rsidRPr="0072209C">
        <w:rPr>
          <w:lang w:val="fr-FR"/>
        </w:rPr>
        <w:t>deux se</w:t>
      </w:r>
      <w:r w:rsidRPr="00200E3E">
        <w:rPr>
          <w:lang w:val="fr-FR"/>
        </w:rPr>
        <w:t>maines avant la manifestation prévue.</w:t>
      </w:r>
    </w:p>
    <w:p w14:paraId="34D05AD3" w14:textId="77777777" w:rsidR="0090756B" w:rsidRPr="00200E3E" w:rsidRDefault="0090756B" w:rsidP="0090756B">
      <w:pPr>
        <w:pStyle w:val="SingleTxt"/>
        <w:spacing w:after="0"/>
        <w:rPr>
          <w:sz w:val="10"/>
          <w:lang w:val="fr-FR"/>
        </w:rPr>
      </w:pPr>
    </w:p>
    <w:p w14:paraId="38391EA7"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Section 9</w:t>
      </w:r>
    </w:p>
    <w:p w14:paraId="0259C9E2" w14:textId="77777777" w:rsidR="0090756B" w:rsidRPr="00200E3E" w:rsidRDefault="0090756B" w:rsidP="009075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0E3E">
        <w:rPr>
          <w:lang w:val="fr-FR"/>
        </w:rPr>
        <w:tab/>
      </w:r>
      <w:r w:rsidRPr="00200E3E">
        <w:rPr>
          <w:lang w:val="fr-FR"/>
        </w:rPr>
        <w:tab/>
      </w:r>
      <w:r w:rsidRPr="00200E3E">
        <w:rPr>
          <w:bCs/>
          <w:lang w:val="fr-FR"/>
        </w:rPr>
        <w:t>Dispositions finales</w:t>
      </w:r>
    </w:p>
    <w:p w14:paraId="49A29514" w14:textId="77777777" w:rsidR="0090756B" w:rsidRPr="00200E3E" w:rsidRDefault="0090756B" w:rsidP="0090756B">
      <w:pPr>
        <w:pStyle w:val="SingleTxt"/>
        <w:spacing w:after="0" w:line="120" w:lineRule="exact"/>
        <w:rPr>
          <w:sz w:val="10"/>
          <w:lang w:val="fr-FR"/>
        </w:rPr>
      </w:pPr>
    </w:p>
    <w:p w14:paraId="7D3E0006" w14:textId="09659620" w:rsidR="0090756B" w:rsidRDefault="0090756B" w:rsidP="0090756B">
      <w:pPr>
        <w:pStyle w:val="SingleTxt"/>
        <w:rPr>
          <w:lang w:val="fr-FR"/>
        </w:rPr>
      </w:pPr>
      <w:r w:rsidRPr="00200E3E">
        <w:rPr>
          <w:lang w:val="fr-FR"/>
        </w:rPr>
        <w:tab/>
        <w:t xml:space="preserve">La présente instruction </w:t>
      </w:r>
      <w:r>
        <w:rPr>
          <w:lang w:val="fr-FR"/>
        </w:rPr>
        <w:t xml:space="preserve">annule et </w:t>
      </w:r>
      <w:r w:rsidRPr="00200E3E">
        <w:rPr>
          <w:lang w:val="fr-FR"/>
        </w:rPr>
        <w:t>remplace l</w:t>
      </w:r>
      <w:r w:rsidR="00F23D9E">
        <w:rPr>
          <w:lang w:val="fr-FR"/>
        </w:rPr>
        <w:t>’</w:t>
      </w:r>
      <w:r w:rsidRPr="00200E3E">
        <w:rPr>
          <w:lang w:val="fr-FR"/>
        </w:rPr>
        <w:t xml:space="preserve">instruction administrative </w:t>
      </w:r>
      <w:hyperlink r:id="rId13" w:history="1">
        <w:r w:rsidRPr="00BC151F">
          <w:rPr>
            <w:rStyle w:val="Hyperlink"/>
            <w:lang w:val="fr-FR"/>
          </w:rPr>
          <w:t>ST/AI/416</w:t>
        </w:r>
      </w:hyperlink>
      <w:r w:rsidRPr="00200E3E">
        <w:rPr>
          <w:lang w:val="fr-FR"/>
        </w:rPr>
        <w:t xml:space="preserve">, intitulée </w:t>
      </w:r>
      <w:r>
        <w:rPr>
          <w:lang w:val="fr-FR"/>
        </w:rPr>
        <w:t>« </w:t>
      </w:r>
      <w:r w:rsidRPr="00200E3E">
        <w:rPr>
          <w:lang w:val="fr-FR"/>
        </w:rPr>
        <w:t>Utilisation des locaux de l</w:t>
      </w:r>
      <w:r w:rsidR="00F23D9E">
        <w:rPr>
          <w:lang w:val="fr-FR"/>
        </w:rPr>
        <w:t>’</w:t>
      </w:r>
      <w:r w:rsidRPr="00200E3E">
        <w:rPr>
          <w:lang w:val="fr-FR"/>
        </w:rPr>
        <w:t>Organisation pour des réunions, conférences, manifestations spéciales et expositions</w:t>
      </w:r>
      <w:r>
        <w:rPr>
          <w:lang w:val="fr-FR"/>
        </w:rPr>
        <w:t> »</w:t>
      </w:r>
      <w:r w:rsidRPr="00200E3E">
        <w:rPr>
          <w:lang w:val="fr-FR"/>
        </w:rPr>
        <w:t xml:space="preserve">. </w:t>
      </w:r>
      <w:r>
        <w:rPr>
          <w:lang w:val="fr-FR"/>
        </w:rPr>
        <w:t xml:space="preserve">Elle devrait par ailleurs </w:t>
      </w:r>
      <w:r w:rsidRPr="00200E3E">
        <w:rPr>
          <w:lang w:val="fr-FR"/>
        </w:rPr>
        <w:t>être lue en conjonction avec l</w:t>
      </w:r>
      <w:r>
        <w:rPr>
          <w:lang w:val="fr-FR"/>
        </w:rPr>
        <w:t xml:space="preserve">es </w:t>
      </w:r>
      <w:r w:rsidRPr="00200E3E">
        <w:rPr>
          <w:lang w:val="fr-FR"/>
        </w:rPr>
        <w:t>instruction</w:t>
      </w:r>
      <w:r>
        <w:rPr>
          <w:lang w:val="fr-FR"/>
        </w:rPr>
        <w:t>s administratives</w:t>
      </w:r>
      <w:r w:rsidRPr="00200E3E">
        <w:rPr>
          <w:lang w:val="fr-FR"/>
        </w:rPr>
        <w:t xml:space="preserve"> </w:t>
      </w:r>
      <w:hyperlink r:id="rId14" w:history="1">
        <w:r w:rsidRPr="00BC151F">
          <w:rPr>
            <w:rStyle w:val="Hyperlink"/>
            <w:lang w:val="fr-FR"/>
          </w:rPr>
          <w:t>ST/AI/387</w:t>
        </w:r>
      </w:hyperlink>
      <w:r w:rsidRPr="00200E3E">
        <w:rPr>
          <w:lang w:val="fr-FR"/>
        </w:rPr>
        <w:t xml:space="preserve">, </w:t>
      </w:r>
      <w:r>
        <w:rPr>
          <w:lang w:val="fr-FR"/>
        </w:rPr>
        <w:t>« </w:t>
      </w:r>
      <w:r w:rsidRPr="00200E3E">
        <w:rPr>
          <w:lang w:val="fr-FR"/>
        </w:rPr>
        <w:t>Mesures de sécurité régissant l</w:t>
      </w:r>
      <w:r w:rsidR="00F23D9E">
        <w:rPr>
          <w:lang w:val="fr-FR"/>
        </w:rPr>
        <w:t>’</w:t>
      </w:r>
      <w:r w:rsidRPr="00200E3E">
        <w:rPr>
          <w:lang w:val="fr-FR"/>
        </w:rPr>
        <w:t>admission au Siège</w:t>
      </w:r>
      <w:r>
        <w:rPr>
          <w:lang w:val="fr-FR"/>
        </w:rPr>
        <w:t> »,</w:t>
      </w:r>
      <w:r w:rsidRPr="00200E3E">
        <w:rPr>
          <w:lang w:val="fr-FR"/>
        </w:rPr>
        <w:t xml:space="preserve"> et </w:t>
      </w:r>
      <w:hyperlink r:id="rId15" w:history="1">
        <w:r w:rsidRPr="00BC151F">
          <w:rPr>
            <w:rStyle w:val="Hyperlink"/>
            <w:lang w:val="fr-FR"/>
          </w:rPr>
          <w:t>ST/AI/2019/5</w:t>
        </w:r>
      </w:hyperlink>
      <w:r w:rsidRPr="00200E3E">
        <w:rPr>
          <w:lang w:val="fr-FR"/>
        </w:rPr>
        <w:t xml:space="preserve">, </w:t>
      </w:r>
      <w:r>
        <w:rPr>
          <w:lang w:val="fr-FR"/>
        </w:rPr>
        <w:t>sur les p</w:t>
      </w:r>
      <w:r w:rsidRPr="00200E3E">
        <w:rPr>
          <w:lang w:val="fr-FR"/>
        </w:rPr>
        <w:t>ouvoirs des agents de sécurité de l</w:t>
      </w:r>
      <w:r w:rsidR="00F23D9E">
        <w:rPr>
          <w:lang w:val="fr-FR"/>
        </w:rPr>
        <w:t>’</w:t>
      </w:r>
      <w:r w:rsidRPr="00200E3E">
        <w:rPr>
          <w:lang w:val="fr-FR"/>
        </w:rPr>
        <w:t>Organisation des Nations Unies.</w:t>
      </w:r>
    </w:p>
    <w:p w14:paraId="4E93DC44" w14:textId="10F65795" w:rsidR="0090756B" w:rsidRPr="0090756B" w:rsidRDefault="0090756B" w:rsidP="0090756B">
      <w:pPr>
        <w:pStyle w:val="SingleTxt"/>
        <w:spacing w:after="0" w:line="120" w:lineRule="exact"/>
        <w:rPr>
          <w:sz w:val="10"/>
          <w:lang w:val="fr-FR"/>
        </w:rPr>
      </w:pPr>
    </w:p>
    <w:p w14:paraId="197600BC" w14:textId="0EB268B7" w:rsidR="0090756B" w:rsidRPr="00200E3E" w:rsidRDefault="0090756B" w:rsidP="0090756B">
      <w:pPr>
        <w:pStyle w:val="SingleTxt"/>
        <w:jc w:val="right"/>
        <w:rPr>
          <w:lang w:val="fr-FR"/>
        </w:rPr>
      </w:pPr>
      <w:r>
        <w:rPr>
          <w:lang w:val="fr-FR"/>
        </w:rPr>
        <w:t xml:space="preserve">La </w:t>
      </w:r>
      <w:r w:rsidRPr="00200E3E">
        <w:rPr>
          <w:lang w:val="fr-FR"/>
        </w:rPr>
        <w:t xml:space="preserve">Secrétaire générale adjointe chargée du Département </w:t>
      </w:r>
      <w:r w:rsidR="00F23D9E">
        <w:rPr>
          <w:lang w:val="fr-FR"/>
        </w:rPr>
        <w:br/>
      </w:r>
      <w:r w:rsidRPr="00200E3E">
        <w:rPr>
          <w:lang w:val="fr-FR"/>
        </w:rPr>
        <w:t>des stratégies et politiques de gestion et de la conformité</w:t>
      </w:r>
      <w:r>
        <w:rPr>
          <w:lang w:val="fr-FR"/>
        </w:rPr>
        <w:br/>
      </w:r>
      <w:r w:rsidRPr="00200E3E">
        <w:rPr>
          <w:lang w:val="fr-FR"/>
        </w:rPr>
        <w:t>(</w:t>
      </w:r>
      <w:r w:rsidRPr="00200E3E">
        <w:rPr>
          <w:i/>
          <w:iCs/>
          <w:lang w:val="fr-FR"/>
        </w:rPr>
        <w:t>Signé</w:t>
      </w:r>
      <w:r w:rsidRPr="00200E3E">
        <w:rPr>
          <w:lang w:val="fr-FR"/>
        </w:rPr>
        <w:t>)</w:t>
      </w:r>
      <w:r>
        <w:rPr>
          <w:lang w:val="fr-FR"/>
        </w:rPr>
        <w:t xml:space="preserve"> </w:t>
      </w:r>
      <w:r w:rsidRPr="00200E3E">
        <w:rPr>
          <w:lang w:val="fr-FR"/>
        </w:rPr>
        <w:t xml:space="preserve">Catherine </w:t>
      </w:r>
      <w:r w:rsidRPr="001274F0">
        <w:rPr>
          <w:b/>
          <w:bCs/>
          <w:lang w:val="fr-FR"/>
        </w:rPr>
        <w:t>Pollard</w:t>
      </w:r>
    </w:p>
    <w:p w14:paraId="40F28E36" w14:textId="5F425A88" w:rsidR="008D434B" w:rsidRPr="0090756B" w:rsidRDefault="0090756B" w:rsidP="0090756B">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0F980407" wp14:editId="76FC039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6883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D434B" w:rsidRPr="0090756B" w:rsidSect="0090756B">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D54E" w14:textId="77777777" w:rsidR="00077A99" w:rsidRDefault="00077A99" w:rsidP="00101B18">
      <w:pPr>
        <w:spacing w:line="240" w:lineRule="auto"/>
      </w:pPr>
      <w:r>
        <w:separator/>
      </w:r>
    </w:p>
  </w:endnote>
  <w:endnote w:type="continuationSeparator" w:id="0">
    <w:p w14:paraId="188D5BE2" w14:textId="77777777" w:rsidR="00077A99" w:rsidRDefault="00077A9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D434B" w14:paraId="56494785" w14:textId="77777777" w:rsidTr="008D434B">
      <w:tc>
        <w:tcPr>
          <w:tcW w:w="4920" w:type="dxa"/>
          <w:shd w:val="clear" w:color="auto" w:fill="auto"/>
        </w:tcPr>
        <w:p w14:paraId="186FA2F7" w14:textId="6373F3A8" w:rsidR="008D434B" w:rsidRPr="008D434B" w:rsidRDefault="008D434B" w:rsidP="008D434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7151">
            <w:rPr>
              <w:b w:val="0"/>
              <w:w w:val="103"/>
              <w:sz w:val="14"/>
            </w:rPr>
            <w:t>19-16360</w:t>
          </w:r>
          <w:r>
            <w:rPr>
              <w:b w:val="0"/>
              <w:w w:val="103"/>
              <w:sz w:val="14"/>
            </w:rPr>
            <w:fldChar w:fldCharType="end"/>
          </w:r>
        </w:p>
      </w:tc>
      <w:tc>
        <w:tcPr>
          <w:tcW w:w="4920" w:type="dxa"/>
          <w:shd w:val="clear" w:color="auto" w:fill="auto"/>
        </w:tcPr>
        <w:p w14:paraId="0DCB9614" w14:textId="77777777" w:rsidR="008D434B" w:rsidRPr="008D434B" w:rsidRDefault="008D434B" w:rsidP="008D434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4499361" w14:textId="77777777" w:rsidR="008D434B" w:rsidRPr="008D434B" w:rsidRDefault="008D434B" w:rsidP="008D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D434B" w14:paraId="577D1076" w14:textId="77777777" w:rsidTr="008D434B">
      <w:tc>
        <w:tcPr>
          <w:tcW w:w="4920" w:type="dxa"/>
          <w:shd w:val="clear" w:color="auto" w:fill="auto"/>
        </w:tcPr>
        <w:p w14:paraId="32E8DCF4" w14:textId="77777777" w:rsidR="008D434B" w:rsidRPr="008D434B" w:rsidRDefault="008D434B" w:rsidP="008D434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A714BFE" w14:textId="1F7D7A32" w:rsidR="008D434B" w:rsidRPr="008D434B" w:rsidRDefault="008D434B" w:rsidP="008D434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7151">
            <w:rPr>
              <w:b w:val="0"/>
              <w:w w:val="103"/>
              <w:sz w:val="14"/>
            </w:rPr>
            <w:t>19-16360</w:t>
          </w:r>
          <w:r>
            <w:rPr>
              <w:b w:val="0"/>
              <w:w w:val="103"/>
              <w:sz w:val="14"/>
            </w:rPr>
            <w:fldChar w:fldCharType="end"/>
          </w:r>
        </w:p>
      </w:tc>
    </w:tr>
  </w:tbl>
  <w:p w14:paraId="73ED59C1" w14:textId="77777777" w:rsidR="008D434B" w:rsidRPr="008D434B" w:rsidRDefault="008D434B" w:rsidP="008D4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CF9A" w14:textId="77777777" w:rsidR="008D434B" w:rsidRDefault="008D434B">
    <w:pPr>
      <w:pStyle w:val="Footer"/>
    </w:pPr>
    <w:r>
      <w:rPr>
        <w:noProof/>
      </w:rPr>
      <w:drawing>
        <wp:anchor distT="0" distB="0" distL="114300" distR="114300" simplePos="0" relativeHeight="251658240" behindDoc="0" locked="0" layoutInCell="1" allowOverlap="1" wp14:anchorId="2B7E5712" wp14:editId="28DF0A4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9/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D434B" w14:paraId="77040E4E" w14:textId="77777777" w:rsidTr="008D434B">
      <w:tc>
        <w:tcPr>
          <w:tcW w:w="3758" w:type="dxa"/>
        </w:tcPr>
        <w:p w14:paraId="3357FFD1" w14:textId="56AAD5F8" w:rsidR="008D434B" w:rsidRDefault="008D434B" w:rsidP="008D434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27151">
            <w:rPr>
              <w:b w:val="0"/>
              <w:sz w:val="20"/>
            </w:rPr>
            <w:t>19-16360 (F)</w:t>
          </w:r>
          <w:r>
            <w:rPr>
              <w:b w:val="0"/>
              <w:sz w:val="20"/>
            </w:rPr>
            <w:fldChar w:fldCharType="end"/>
          </w:r>
          <w:r>
            <w:rPr>
              <w:b w:val="0"/>
              <w:sz w:val="20"/>
            </w:rPr>
            <w:t xml:space="preserve">    260919    260919</w:t>
          </w:r>
        </w:p>
        <w:p w14:paraId="51FDC998" w14:textId="0049A9D4" w:rsidR="008D434B" w:rsidRPr="008D434B" w:rsidRDefault="008D434B" w:rsidP="008D434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27151">
            <w:rPr>
              <w:rFonts w:ascii="Barcode 3 of 9 by request" w:hAnsi="Barcode 3 of 9 by request"/>
              <w:spacing w:val="0"/>
              <w:w w:val="100"/>
              <w:sz w:val="24"/>
            </w:rPr>
            <w:t>*1916360*</w:t>
          </w:r>
          <w:r>
            <w:rPr>
              <w:rFonts w:ascii="Barcode 3 of 9 by request" w:hAnsi="Barcode 3 of 9 by request"/>
              <w:spacing w:val="0"/>
              <w:w w:val="100"/>
              <w:sz w:val="24"/>
            </w:rPr>
            <w:fldChar w:fldCharType="end"/>
          </w:r>
        </w:p>
      </w:tc>
      <w:tc>
        <w:tcPr>
          <w:tcW w:w="4920" w:type="dxa"/>
        </w:tcPr>
        <w:p w14:paraId="102BAFCD" w14:textId="77777777" w:rsidR="008D434B" w:rsidRDefault="008D434B" w:rsidP="008D434B">
          <w:pPr>
            <w:pStyle w:val="Footer"/>
            <w:spacing w:line="240" w:lineRule="atLeast"/>
            <w:jc w:val="right"/>
            <w:rPr>
              <w:b w:val="0"/>
              <w:sz w:val="20"/>
            </w:rPr>
          </w:pPr>
          <w:r>
            <w:rPr>
              <w:b w:val="0"/>
              <w:noProof/>
              <w:sz w:val="20"/>
            </w:rPr>
            <w:drawing>
              <wp:inline distT="0" distB="0" distL="0" distR="0" wp14:anchorId="0F9B3818" wp14:editId="50C3977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1A5C76F" w14:textId="77777777" w:rsidR="008D434B" w:rsidRPr="008D434B" w:rsidRDefault="008D434B" w:rsidP="008D434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F550" w14:textId="3EBC4D88" w:rsidR="00077A99" w:rsidRPr="0090756B" w:rsidRDefault="0090756B" w:rsidP="0090756B">
      <w:pPr>
        <w:pStyle w:val="Footer"/>
        <w:spacing w:after="80"/>
        <w:ind w:left="792"/>
        <w:rPr>
          <w:sz w:val="16"/>
        </w:rPr>
      </w:pPr>
      <w:r w:rsidRPr="0090756B">
        <w:rPr>
          <w:sz w:val="16"/>
        </w:rPr>
        <w:t>__________________</w:t>
      </w:r>
    </w:p>
  </w:footnote>
  <w:footnote w:type="continuationSeparator" w:id="0">
    <w:p w14:paraId="35328579" w14:textId="1B3AED7D" w:rsidR="00077A99" w:rsidRPr="0090756B" w:rsidRDefault="0090756B" w:rsidP="0090756B">
      <w:pPr>
        <w:pStyle w:val="Footer"/>
        <w:spacing w:after="80"/>
        <w:ind w:left="792"/>
        <w:rPr>
          <w:sz w:val="16"/>
        </w:rPr>
      </w:pPr>
      <w:r w:rsidRPr="0090756B">
        <w:rPr>
          <w:sz w:val="16"/>
        </w:rPr>
        <w:t>__________________</w:t>
      </w:r>
    </w:p>
  </w:footnote>
  <w:footnote w:id="1">
    <w:p w14:paraId="526C357F" w14:textId="454C6268" w:rsidR="0090756B" w:rsidRPr="00996BC8" w:rsidRDefault="0090756B" w:rsidP="0090756B">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lang w:val="fr-FR"/>
        </w:rPr>
        <w:footnoteRef/>
      </w:r>
      <w:r>
        <w:rPr>
          <w:lang w:val="fr-FR"/>
        </w:rPr>
        <w:tab/>
      </w:r>
      <w:r w:rsidRPr="0090756B">
        <w:rPr>
          <w:lang w:val="fr-FR"/>
        </w:rPr>
        <w:t>Aux fins de la présente instruction administrative, le Comité des expositions joue le rôle d</w:t>
      </w:r>
      <w:r w:rsidR="00F23D9E">
        <w:rPr>
          <w:lang w:val="fr-FR"/>
        </w:rPr>
        <w:t>’</w:t>
      </w:r>
      <w:r w:rsidRPr="0090756B">
        <w:rPr>
          <w:lang w:val="fr-FR"/>
        </w:rPr>
        <w:t>entité chargée de la gestion pour tous les espaces d</w:t>
      </w:r>
      <w:r w:rsidR="00F23D9E">
        <w:rPr>
          <w:lang w:val="fr-FR"/>
        </w:rPr>
        <w:t>’</w:t>
      </w:r>
      <w:r w:rsidRPr="0090756B">
        <w:rPr>
          <w:lang w:val="fr-FR"/>
        </w:rPr>
        <w:t>exposition accessibles au public [voir par. 3.1, al.</w:t>
      </w:r>
      <w:r>
        <w:rPr>
          <w:lang w:val="fr-FR"/>
        </w:rPr>
        <w:t> </w:t>
      </w:r>
      <w:r w:rsidRPr="0090756B">
        <w:rPr>
          <w:lang w:val="fr-FR"/>
        </w:rPr>
        <w:t>b)].</w:t>
      </w:r>
    </w:p>
  </w:footnote>
  <w:footnote w:id="2">
    <w:p w14:paraId="1C4D23BA" w14:textId="7A2D46CC" w:rsidR="0090756B" w:rsidRPr="00996BC8" w:rsidRDefault="0090756B" w:rsidP="0090756B">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lang w:val="fr-FR"/>
        </w:rPr>
        <w:footnoteRef/>
      </w:r>
      <w:r>
        <w:rPr>
          <w:lang w:val="fr-FR"/>
        </w:rPr>
        <w:tab/>
      </w:r>
      <w:r w:rsidRPr="0090756B">
        <w:rPr>
          <w:lang w:val="fr-FR"/>
        </w:rPr>
        <w:t>Les espaces d</w:t>
      </w:r>
      <w:r w:rsidR="00F23D9E">
        <w:rPr>
          <w:lang w:val="fr-FR"/>
        </w:rPr>
        <w:t>’</w:t>
      </w:r>
      <w:r w:rsidRPr="0090756B">
        <w:rPr>
          <w:lang w:val="fr-FR"/>
        </w:rPr>
        <w:t>exposition accessibles au public sont définis d</w:t>
      </w:r>
      <w:r w:rsidR="00F23D9E">
        <w:rPr>
          <w:lang w:val="fr-FR"/>
        </w:rPr>
        <w:t>’</w:t>
      </w:r>
      <w:r w:rsidRPr="0090756B">
        <w:rPr>
          <w:lang w:val="fr-FR"/>
        </w:rPr>
        <w:t>entente entre la Division de l</w:t>
      </w:r>
      <w:r w:rsidR="00F23D9E">
        <w:rPr>
          <w:lang w:val="fr-FR"/>
        </w:rPr>
        <w:t>’</w:t>
      </w:r>
      <w:r w:rsidRPr="0090756B">
        <w:rPr>
          <w:lang w:val="fr-FR"/>
        </w:rPr>
        <w:t>administration du Département de l</w:t>
      </w:r>
      <w:r w:rsidR="00F23D9E">
        <w:rPr>
          <w:lang w:val="fr-FR"/>
        </w:rPr>
        <w:t>’</w:t>
      </w:r>
      <w:r w:rsidRPr="0090756B">
        <w:rPr>
          <w:lang w:val="fr-FR"/>
        </w:rPr>
        <w:t>appui opérationnel et le Comité des expositions.</w:t>
      </w:r>
    </w:p>
  </w:footnote>
  <w:footnote w:id="3">
    <w:p w14:paraId="56606133" w14:textId="0B955DCC" w:rsidR="0090756B" w:rsidRPr="00996BC8" w:rsidRDefault="0090756B" w:rsidP="0090756B">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lang w:val="fr-FR"/>
        </w:rPr>
        <w:footnoteRef/>
      </w:r>
      <w:r>
        <w:rPr>
          <w:lang w:val="fr-FR"/>
        </w:rPr>
        <w:tab/>
      </w:r>
      <w:r w:rsidRPr="0090756B">
        <w:rPr>
          <w:lang w:val="fr-FR"/>
        </w:rPr>
        <w:t xml:space="preserve">Circulaire </w:t>
      </w:r>
      <w:hyperlink r:id="rId1" w:history="1">
        <w:r w:rsidRPr="00BC151F">
          <w:rPr>
            <w:rStyle w:val="Hyperlink"/>
            <w:lang w:val="fr-FR"/>
          </w:rPr>
          <w:t>ST/SGB/2008/6</w:t>
        </w:r>
      </w:hyperlink>
      <w:r w:rsidRPr="0090756B">
        <w:rPr>
          <w:lang w:val="fr-FR"/>
        </w:rPr>
        <w:t xml:space="preserve"> ou tout texte ultérieur l</w:t>
      </w:r>
      <w:r w:rsidR="00F23D9E">
        <w:rPr>
          <w:lang w:val="fr-FR"/>
        </w:rPr>
        <w:t>’</w:t>
      </w:r>
      <w:r w:rsidRPr="0090756B">
        <w:rPr>
          <w:lang w:val="fr-FR"/>
        </w:rPr>
        <w:t xml:space="preserve">ayant remplacée. </w:t>
      </w:r>
    </w:p>
  </w:footnote>
  <w:footnote w:id="4">
    <w:p w14:paraId="4A7DB812" w14:textId="39E6E8E4" w:rsidR="0090756B" w:rsidRPr="00996BC8" w:rsidRDefault="0090756B" w:rsidP="0090756B">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lang w:val="fr-FR"/>
        </w:rPr>
        <w:footnoteRef/>
      </w:r>
      <w:r>
        <w:rPr>
          <w:lang w:val="fr-FR"/>
        </w:rPr>
        <w:tab/>
      </w:r>
      <w:r w:rsidRPr="0090756B">
        <w:rPr>
          <w:lang w:val="fr-FR"/>
        </w:rPr>
        <w:t xml:space="preserve">Instruction administrative </w:t>
      </w:r>
      <w:hyperlink r:id="rId2" w:history="1">
        <w:r w:rsidRPr="00BC151F">
          <w:rPr>
            <w:rStyle w:val="Hyperlink"/>
            <w:lang w:val="fr-FR"/>
          </w:rPr>
          <w:t>ST/AI/</w:t>
        </w:r>
        <w:bookmarkStart w:id="1" w:name="SCName"/>
        <w:r w:rsidRPr="00BC151F">
          <w:rPr>
            <w:rStyle w:val="Hyperlink"/>
            <w:lang w:val="fr-FR"/>
          </w:rPr>
          <w:t>2008/1</w:t>
        </w:r>
        <w:bookmarkEnd w:id="1"/>
      </w:hyperlink>
      <w:r w:rsidRPr="0090756B">
        <w:rPr>
          <w:lang w:val="fr-FR"/>
        </w:rPr>
        <w:t xml:space="preserve"> ou tout texte ultérieur l</w:t>
      </w:r>
      <w:r w:rsidR="00F23D9E">
        <w:rPr>
          <w:lang w:val="fr-FR"/>
        </w:rPr>
        <w:t>’</w:t>
      </w:r>
      <w:r w:rsidRPr="0090756B">
        <w:rPr>
          <w:lang w:val="fr-FR"/>
        </w:rPr>
        <w:t>ayant remplacée.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D434B" w14:paraId="0F887ED3" w14:textId="77777777" w:rsidTr="008D434B">
      <w:trPr>
        <w:trHeight w:hRule="exact" w:val="864"/>
      </w:trPr>
      <w:tc>
        <w:tcPr>
          <w:tcW w:w="4920" w:type="dxa"/>
          <w:shd w:val="clear" w:color="auto" w:fill="auto"/>
          <w:vAlign w:val="bottom"/>
        </w:tcPr>
        <w:p w14:paraId="6D43597C" w14:textId="1FE5C5AE" w:rsidR="008D434B" w:rsidRPr="008D434B" w:rsidRDefault="008D434B" w:rsidP="008D434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27151">
            <w:rPr>
              <w:b/>
              <w:color w:val="000000"/>
            </w:rPr>
            <w:t>ST/AI/2019/4</w:t>
          </w:r>
          <w:r>
            <w:rPr>
              <w:b/>
              <w:color w:val="000000"/>
            </w:rPr>
            <w:fldChar w:fldCharType="end"/>
          </w:r>
        </w:p>
      </w:tc>
      <w:tc>
        <w:tcPr>
          <w:tcW w:w="4920" w:type="dxa"/>
          <w:shd w:val="clear" w:color="auto" w:fill="auto"/>
          <w:vAlign w:val="bottom"/>
        </w:tcPr>
        <w:p w14:paraId="4BCCEC0D" w14:textId="77777777" w:rsidR="008D434B" w:rsidRDefault="008D434B" w:rsidP="008D434B">
          <w:pPr>
            <w:pStyle w:val="Header"/>
          </w:pPr>
        </w:p>
      </w:tc>
    </w:tr>
  </w:tbl>
  <w:p w14:paraId="02761ECD" w14:textId="4F8841AD" w:rsidR="008D434B" w:rsidRPr="008D434B" w:rsidRDefault="00B6292E" w:rsidP="008D434B">
    <w:pPr>
      <w:pStyle w:val="Header"/>
      <w:rPr>
        <w:sz w:val="2"/>
      </w:rPr>
    </w:pPr>
    <w:r>
      <w:rPr>
        <w:noProof/>
      </w:rPr>
      <w:pict w14:anchorId="554B9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421719" o:spid="_x0000_s6146"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D434B" w14:paraId="247044EB" w14:textId="77777777" w:rsidTr="008D434B">
      <w:trPr>
        <w:trHeight w:hRule="exact" w:val="864"/>
      </w:trPr>
      <w:tc>
        <w:tcPr>
          <w:tcW w:w="4920" w:type="dxa"/>
          <w:shd w:val="clear" w:color="auto" w:fill="auto"/>
          <w:vAlign w:val="bottom"/>
        </w:tcPr>
        <w:p w14:paraId="7077AC0D" w14:textId="77777777" w:rsidR="008D434B" w:rsidRDefault="008D434B" w:rsidP="008D434B">
          <w:pPr>
            <w:pStyle w:val="Header"/>
          </w:pPr>
        </w:p>
      </w:tc>
      <w:tc>
        <w:tcPr>
          <w:tcW w:w="4920" w:type="dxa"/>
          <w:shd w:val="clear" w:color="auto" w:fill="auto"/>
          <w:vAlign w:val="bottom"/>
        </w:tcPr>
        <w:p w14:paraId="3A107549" w14:textId="6290CB93" w:rsidR="008D434B" w:rsidRPr="008D434B" w:rsidRDefault="008D434B" w:rsidP="008D434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27151">
            <w:rPr>
              <w:b/>
              <w:color w:val="000000"/>
            </w:rPr>
            <w:t>ST/AI/2019/4</w:t>
          </w:r>
          <w:r>
            <w:rPr>
              <w:b/>
              <w:color w:val="000000"/>
            </w:rPr>
            <w:fldChar w:fldCharType="end"/>
          </w:r>
        </w:p>
      </w:tc>
    </w:tr>
  </w:tbl>
  <w:p w14:paraId="0210A538" w14:textId="250382B7" w:rsidR="008D434B" w:rsidRPr="008D434B" w:rsidRDefault="00B6292E" w:rsidP="008D434B">
    <w:pPr>
      <w:pStyle w:val="Header"/>
      <w:rPr>
        <w:sz w:val="2"/>
      </w:rPr>
    </w:pPr>
    <w:r>
      <w:rPr>
        <w:noProof/>
      </w:rPr>
      <w:pict w14:anchorId="15742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421720" o:spid="_x0000_s6147"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D434B" w14:paraId="668B9449" w14:textId="77777777" w:rsidTr="008D434B">
      <w:trPr>
        <w:trHeight w:hRule="exact" w:val="864"/>
      </w:trPr>
      <w:tc>
        <w:tcPr>
          <w:tcW w:w="1267" w:type="dxa"/>
          <w:tcBorders>
            <w:bottom w:val="single" w:sz="4" w:space="0" w:color="auto"/>
          </w:tcBorders>
          <w:shd w:val="clear" w:color="auto" w:fill="auto"/>
          <w:vAlign w:val="bottom"/>
        </w:tcPr>
        <w:p w14:paraId="55919E75" w14:textId="77777777" w:rsidR="008D434B" w:rsidRDefault="008D434B" w:rsidP="008D434B">
          <w:pPr>
            <w:pStyle w:val="Header"/>
            <w:spacing w:after="120"/>
          </w:pPr>
        </w:p>
      </w:tc>
      <w:tc>
        <w:tcPr>
          <w:tcW w:w="2059" w:type="dxa"/>
          <w:tcBorders>
            <w:bottom w:val="single" w:sz="4" w:space="0" w:color="auto"/>
          </w:tcBorders>
          <w:shd w:val="clear" w:color="auto" w:fill="auto"/>
          <w:vAlign w:val="bottom"/>
        </w:tcPr>
        <w:p w14:paraId="4E78C20C" w14:textId="77777777" w:rsidR="008D434B" w:rsidRPr="008D434B" w:rsidRDefault="008D434B" w:rsidP="008D434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9B93482" w14:textId="77777777" w:rsidR="008D434B" w:rsidRDefault="008D434B" w:rsidP="008D434B">
          <w:pPr>
            <w:pStyle w:val="Header"/>
            <w:spacing w:after="120"/>
          </w:pPr>
        </w:p>
      </w:tc>
      <w:tc>
        <w:tcPr>
          <w:tcW w:w="6466" w:type="dxa"/>
          <w:gridSpan w:val="3"/>
          <w:tcBorders>
            <w:bottom w:val="single" w:sz="4" w:space="0" w:color="auto"/>
          </w:tcBorders>
          <w:shd w:val="clear" w:color="auto" w:fill="auto"/>
          <w:vAlign w:val="bottom"/>
        </w:tcPr>
        <w:p w14:paraId="21201327" w14:textId="77777777" w:rsidR="008D434B" w:rsidRPr="008D434B" w:rsidRDefault="008D434B" w:rsidP="008D434B">
          <w:pPr>
            <w:spacing w:after="80" w:line="240" w:lineRule="auto"/>
            <w:jc w:val="right"/>
            <w:rPr>
              <w:position w:val="-4"/>
            </w:rPr>
          </w:pPr>
          <w:r>
            <w:rPr>
              <w:position w:val="-4"/>
              <w:sz w:val="40"/>
            </w:rPr>
            <w:t>ST</w:t>
          </w:r>
          <w:r>
            <w:rPr>
              <w:position w:val="-4"/>
            </w:rPr>
            <w:t>/AI/2019/4</w:t>
          </w:r>
        </w:p>
      </w:tc>
    </w:tr>
    <w:tr w:rsidR="008D434B" w:rsidRPr="008D434B" w14:paraId="2C660441" w14:textId="77777777" w:rsidTr="008D434B">
      <w:trPr>
        <w:trHeight w:hRule="exact" w:val="2880"/>
      </w:trPr>
      <w:tc>
        <w:tcPr>
          <w:tcW w:w="1267" w:type="dxa"/>
          <w:tcBorders>
            <w:top w:val="single" w:sz="4" w:space="0" w:color="auto"/>
            <w:bottom w:val="single" w:sz="12" w:space="0" w:color="auto"/>
          </w:tcBorders>
          <w:shd w:val="clear" w:color="auto" w:fill="auto"/>
        </w:tcPr>
        <w:p w14:paraId="13C49B8D" w14:textId="77777777" w:rsidR="008D434B" w:rsidRPr="008D434B" w:rsidRDefault="008D434B" w:rsidP="008D434B">
          <w:pPr>
            <w:pStyle w:val="Header"/>
            <w:spacing w:before="120" w:line="240" w:lineRule="auto"/>
            <w:ind w:left="-72"/>
            <w:jc w:val="center"/>
          </w:pPr>
          <w:r>
            <w:t xml:space="preserve">  </w:t>
          </w:r>
          <w:r>
            <w:rPr>
              <w:noProof/>
            </w:rPr>
            <w:drawing>
              <wp:inline distT="0" distB="0" distL="0" distR="0" wp14:anchorId="381EE905" wp14:editId="14DE340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901A54" w14:textId="77777777" w:rsidR="008D434B" w:rsidRPr="008D434B" w:rsidRDefault="008D434B" w:rsidP="008D434B">
          <w:pPr>
            <w:pStyle w:val="XLarge"/>
            <w:spacing w:before="109"/>
          </w:pPr>
          <w:r>
            <w:t>Secrétariat</w:t>
          </w:r>
        </w:p>
      </w:tc>
      <w:tc>
        <w:tcPr>
          <w:tcW w:w="245" w:type="dxa"/>
          <w:tcBorders>
            <w:top w:val="single" w:sz="4" w:space="0" w:color="auto"/>
            <w:bottom w:val="single" w:sz="12" w:space="0" w:color="auto"/>
          </w:tcBorders>
          <w:shd w:val="clear" w:color="auto" w:fill="auto"/>
        </w:tcPr>
        <w:p w14:paraId="4B4F0BDD" w14:textId="77777777" w:rsidR="008D434B" w:rsidRPr="008D434B" w:rsidRDefault="008D434B" w:rsidP="008D434B">
          <w:pPr>
            <w:pStyle w:val="Header"/>
            <w:spacing w:before="109"/>
          </w:pPr>
        </w:p>
      </w:tc>
      <w:tc>
        <w:tcPr>
          <w:tcW w:w="3110" w:type="dxa"/>
          <w:tcBorders>
            <w:top w:val="single" w:sz="4" w:space="0" w:color="auto"/>
            <w:bottom w:val="single" w:sz="12" w:space="0" w:color="auto"/>
          </w:tcBorders>
          <w:shd w:val="clear" w:color="auto" w:fill="auto"/>
        </w:tcPr>
        <w:p w14:paraId="32870729" w14:textId="1F2E5B9A" w:rsidR="008D434B" w:rsidRPr="0090756B" w:rsidRDefault="008D434B" w:rsidP="008D434B">
          <w:pPr>
            <w:pStyle w:val="Distribution"/>
            <w:rPr>
              <w:color w:val="000000"/>
              <w:lang w:val="fr-FR"/>
            </w:rPr>
          </w:pPr>
        </w:p>
        <w:p w14:paraId="012A7CA0" w14:textId="6528A621" w:rsidR="008D434B" w:rsidRPr="0090756B" w:rsidRDefault="008D434B" w:rsidP="008D434B">
          <w:pPr>
            <w:pStyle w:val="Publication"/>
            <w:rPr>
              <w:color w:val="000000"/>
              <w:lang w:val="fr-FR"/>
            </w:rPr>
          </w:pPr>
          <w:r w:rsidRPr="0090756B">
            <w:rPr>
              <w:color w:val="000000"/>
              <w:lang w:val="fr-FR"/>
            </w:rPr>
            <w:t>2</w:t>
          </w:r>
          <w:r w:rsidR="0090756B">
            <w:rPr>
              <w:color w:val="000000"/>
              <w:lang w:val="fr-FR"/>
            </w:rPr>
            <w:t>3</w:t>
          </w:r>
          <w:r w:rsidRPr="0090756B">
            <w:rPr>
              <w:color w:val="000000"/>
              <w:lang w:val="fr-FR"/>
            </w:rPr>
            <w:t xml:space="preserve"> septembre 2019</w:t>
          </w:r>
        </w:p>
        <w:p w14:paraId="350C1A9F" w14:textId="637A39AC" w:rsidR="008D434B" w:rsidRPr="0090756B" w:rsidRDefault="008D434B" w:rsidP="008D434B">
          <w:pPr>
            <w:pStyle w:val="Original"/>
            <w:rPr>
              <w:color w:val="000000"/>
              <w:lang w:val="fr-FR"/>
            </w:rPr>
          </w:pPr>
        </w:p>
      </w:tc>
    </w:tr>
  </w:tbl>
  <w:p w14:paraId="60BDF7D2" w14:textId="03B4076D" w:rsidR="008D434B" w:rsidRPr="0090756B" w:rsidRDefault="00B6292E" w:rsidP="008D434B">
    <w:pPr>
      <w:pStyle w:val="Header"/>
      <w:spacing w:line="240" w:lineRule="auto"/>
      <w:rPr>
        <w:sz w:val="2"/>
        <w:lang w:val="fr-FR"/>
      </w:rPr>
    </w:pPr>
    <w:r>
      <w:rPr>
        <w:noProof/>
      </w:rPr>
      <w:pict w14:anchorId="61CCA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421718" o:spid="_x0000_s6145"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76C1F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5DD0EE0"/>
    <w:multiLevelType w:val="singleLevel"/>
    <w:tmpl w:val="0820FE7E"/>
    <w:lvl w:ilvl="0">
      <w:start w:val="1"/>
      <w:numFmt w:val="decimal"/>
      <w:lvlRestart w:val="0"/>
      <w:lvlText w:val="7.%1"/>
      <w:lvlJc w:val="left"/>
      <w:pPr>
        <w:tabs>
          <w:tab w:val="num" w:pos="1742"/>
        </w:tabs>
        <w:ind w:left="1267" w:firstLine="0"/>
      </w:pPr>
      <w:rPr>
        <w:w w:val="100"/>
      </w:rPr>
    </w:lvl>
  </w:abstractNum>
  <w:abstractNum w:abstractNumId="2" w15:restartNumberingAfterBreak="0">
    <w:nsid w:val="07D518AA"/>
    <w:multiLevelType w:val="singleLevel"/>
    <w:tmpl w:val="B4B863C6"/>
    <w:lvl w:ilvl="0">
      <w:start w:val="1"/>
      <w:numFmt w:val="decimal"/>
      <w:lvlRestart w:val="0"/>
      <w:lvlText w:val="4.%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4D97BC6"/>
    <w:multiLevelType w:val="singleLevel"/>
    <w:tmpl w:val="6F6A9296"/>
    <w:lvl w:ilvl="0">
      <w:start w:val="1"/>
      <w:numFmt w:val="decimal"/>
      <w:lvlRestart w:val="0"/>
      <w:lvlText w:val="6.%1"/>
      <w:lvlJc w:val="left"/>
      <w:pPr>
        <w:tabs>
          <w:tab w:val="num" w:pos="1742"/>
        </w:tabs>
        <w:ind w:left="1267" w:firstLine="0"/>
      </w:pPr>
      <w:rPr>
        <w:w w:val="100"/>
      </w:rPr>
    </w:lvl>
  </w:abstractNum>
  <w:abstractNum w:abstractNumId="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902BF"/>
    <w:multiLevelType w:val="singleLevel"/>
    <w:tmpl w:val="B4B863C6"/>
    <w:lvl w:ilvl="0">
      <w:start w:val="1"/>
      <w:numFmt w:val="decimal"/>
      <w:lvlRestart w:val="0"/>
      <w:lvlText w:val="4.%1"/>
      <w:lvlJc w:val="left"/>
      <w:pPr>
        <w:tabs>
          <w:tab w:val="num" w:pos="1742"/>
        </w:tabs>
        <w:ind w:left="1267" w:firstLine="0"/>
      </w:pPr>
      <w:rPr>
        <w:w w:val="100"/>
      </w:rPr>
    </w:lvl>
  </w:abstractNum>
  <w:abstractNum w:abstractNumId="7" w15:restartNumberingAfterBreak="0">
    <w:nsid w:val="23BB6621"/>
    <w:multiLevelType w:val="hybridMultilevel"/>
    <w:tmpl w:val="803E4304"/>
    <w:lvl w:ilvl="0" w:tplc="57DCE67A">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15:restartNumberingAfterBreak="0">
    <w:nsid w:val="24423619"/>
    <w:multiLevelType w:val="singleLevel"/>
    <w:tmpl w:val="D9820006"/>
    <w:lvl w:ilvl="0">
      <w:start w:val="1"/>
      <w:numFmt w:val="decimal"/>
      <w:lvlRestart w:val="0"/>
      <w:lvlText w:val="6.%1"/>
      <w:lvlJc w:val="left"/>
      <w:pPr>
        <w:tabs>
          <w:tab w:val="num" w:pos="1742"/>
        </w:tabs>
        <w:ind w:left="1267" w:firstLine="0"/>
      </w:pPr>
      <w:rPr>
        <w:w w:val="100"/>
      </w:rPr>
    </w:lvl>
  </w:abstractNum>
  <w:abstractNum w:abstractNumId="9" w15:restartNumberingAfterBreak="0">
    <w:nsid w:val="270E0B55"/>
    <w:multiLevelType w:val="singleLevel"/>
    <w:tmpl w:val="E6364F16"/>
    <w:lvl w:ilvl="0">
      <w:start w:val="4"/>
      <w:numFmt w:val="decimal"/>
      <w:lvlRestart w:val="0"/>
      <w:lvlText w:val="6.%1"/>
      <w:lvlJc w:val="left"/>
      <w:pPr>
        <w:tabs>
          <w:tab w:val="num" w:pos="1742"/>
        </w:tabs>
        <w:ind w:left="1267" w:firstLine="0"/>
      </w:pPr>
      <w:rPr>
        <w:w w:val="100"/>
      </w:rPr>
    </w:lvl>
  </w:abstractNum>
  <w:abstractNum w:abstractNumId="10" w15:restartNumberingAfterBreak="0">
    <w:nsid w:val="273715B1"/>
    <w:multiLevelType w:val="singleLevel"/>
    <w:tmpl w:val="6F6A9296"/>
    <w:lvl w:ilvl="0">
      <w:start w:val="1"/>
      <w:numFmt w:val="decimal"/>
      <w:lvlRestart w:val="0"/>
      <w:lvlText w:val="6.%1"/>
      <w:lvlJc w:val="left"/>
      <w:pPr>
        <w:tabs>
          <w:tab w:val="num" w:pos="1742"/>
        </w:tabs>
        <w:ind w:left="1267" w:firstLine="0"/>
      </w:pPr>
      <w:rPr>
        <w:w w:val="100"/>
      </w:rPr>
    </w:lvl>
  </w:abstractNum>
  <w:abstractNum w:abstractNumId="11" w15:restartNumberingAfterBreak="0">
    <w:nsid w:val="2B1740DC"/>
    <w:multiLevelType w:val="hybridMultilevel"/>
    <w:tmpl w:val="FE2C8C44"/>
    <w:lvl w:ilvl="0" w:tplc="57DCE67A">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2ED6790F"/>
    <w:multiLevelType w:val="singleLevel"/>
    <w:tmpl w:val="10CEEEAE"/>
    <w:lvl w:ilvl="0">
      <w:start w:val="1"/>
      <w:numFmt w:val="decimal"/>
      <w:lvlRestart w:val="0"/>
      <w:lvlText w:val="6.%1"/>
      <w:lvlJc w:val="left"/>
      <w:pPr>
        <w:tabs>
          <w:tab w:val="num" w:pos="1742"/>
        </w:tabs>
        <w:ind w:left="1267" w:firstLine="0"/>
      </w:pPr>
      <w:rPr>
        <w:w w:val="100"/>
      </w:rPr>
    </w:lvl>
  </w:abstractNum>
  <w:abstractNum w:abstractNumId="13" w15:restartNumberingAfterBreak="0">
    <w:nsid w:val="37AC75E0"/>
    <w:multiLevelType w:val="singleLevel"/>
    <w:tmpl w:val="10CEEEAE"/>
    <w:lvl w:ilvl="0">
      <w:start w:val="1"/>
      <w:numFmt w:val="decimal"/>
      <w:lvlRestart w:val="0"/>
      <w:lvlText w:val="6.%1"/>
      <w:lvlJc w:val="left"/>
      <w:pPr>
        <w:tabs>
          <w:tab w:val="num" w:pos="1742"/>
        </w:tabs>
        <w:ind w:left="1267" w:firstLine="0"/>
      </w:pPr>
      <w:rPr>
        <w:w w:val="100"/>
      </w:rPr>
    </w:lvl>
  </w:abstractNum>
  <w:abstractNum w:abstractNumId="14" w15:restartNumberingAfterBreak="0">
    <w:nsid w:val="3EE0663B"/>
    <w:multiLevelType w:val="hybridMultilevel"/>
    <w:tmpl w:val="6B6EBCA2"/>
    <w:lvl w:ilvl="0" w:tplc="57DCE67A">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3070E"/>
    <w:multiLevelType w:val="singleLevel"/>
    <w:tmpl w:val="EEDC0DFA"/>
    <w:lvl w:ilvl="0">
      <w:start w:val="1"/>
      <w:numFmt w:val="decimal"/>
      <w:lvlRestart w:val="0"/>
      <w:lvlText w:val="3.%1"/>
      <w:lvlJc w:val="left"/>
      <w:pPr>
        <w:tabs>
          <w:tab w:val="num" w:pos="1742"/>
        </w:tabs>
        <w:ind w:left="1267" w:firstLine="0"/>
      </w:pPr>
      <w:rPr>
        <w:w w:val="100"/>
      </w:rPr>
    </w:lvl>
  </w:abstractNum>
  <w:abstractNum w:abstractNumId="17" w15:restartNumberingAfterBreak="0">
    <w:nsid w:val="584E6142"/>
    <w:multiLevelType w:val="singleLevel"/>
    <w:tmpl w:val="0820FE7E"/>
    <w:lvl w:ilvl="0">
      <w:start w:val="1"/>
      <w:numFmt w:val="decimal"/>
      <w:lvlRestart w:val="0"/>
      <w:lvlText w:val="7.%1"/>
      <w:lvlJc w:val="left"/>
      <w:pPr>
        <w:tabs>
          <w:tab w:val="num" w:pos="1742"/>
        </w:tabs>
        <w:ind w:left="1267" w:firstLine="0"/>
      </w:pPr>
      <w:rPr>
        <w:w w:val="100"/>
      </w:rPr>
    </w:lvl>
  </w:abstractNum>
  <w:num w:numId="1">
    <w:abstractNumId w:val="5"/>
  </w:num>
  <w:num w:numId="2">
    <w:abstractNumId w:val="15"/>
  </w:num>
  <w:num w:numId="3">
    <w:abstractNumId w:val="0"/>
  </w:num>
  <w:num w:numId="4">
    <w:abstractNumId w:val="3"/>
  </w:num>
  <w:num w:numId="5">
    <w:abstractNumId w:val="5"/>
  </w:num>
  <w:num w:numId="6">
    <w:abstractNumId w:val="15"/>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4"/>
    <w:lvlOverride w:ilvl="0">
      <w:lvl w:ilvl="0" w:tplc="57DCE67A">
        <w:start w:val="1"/>
        <w:numFmt w:val="lowerLetter"/>
        <w:lvlText w:val="%1)"/>
        <w:lvlJc w:val="left"/>
        <w:pPr>
          <w:ind w:left="1987" w:hanging="360"/>
        </w:pPr>
        <w:rPr>
          <w:rFonts w:hint="default"/>
        </w:rPr>
      </w:lvl>
    </w:lvlOverride>
  </w:num>
  <w:num w:numId="18">
    <w:abstractNumId w:val="7"/>
    <w:lvlOverride w:ilvl="0">
      <w:lvl w:ilvl="0" w:tplc="57DCE67A">
        <w:start w:val="1"/>
        <w:numFmt w:val="lowerLetter"/>
        <w:lvlText w:val="%1)"/>
        <w:lvlJc w:val="left"/>
        <w:pPr>
          <w:ind w:left="1987" w:hanging="360"/>
        </w:pPr>
        <w:rPr>
          <w:rFonts w:hint="default"/>
        </w:rPr>
      </w:lvl>
    </w:lvlOverride>
  </w:num>
  <w:num w:numId="19">
    <w:abstractNumId w:val="11"/>
    <w:lvlOverride w:ilvl="0">
      <w:lvl w:ilvl="0" w:tplc="57DCE67A">
        <w:start w:val="1"/>
        <w:numFmt w:val="lowerLetter"/>
        <w:lvlText w:val="%1)"/>
        <w:lvlJc w:val="left"/>
        <w:pPr>
          <w:ind w:left="1987" w:hanging="360"/>
        </w:pPr>
        <w:rPr>
          <w:rFonts w:hint="default"/>
        </w:rPr>
      </w:lvl>
    </w:lvlOverride>
  </w:num>
  <w:num w:numId="20">
    <w:abstractNumId w:val="16"/>
  </w:num>
  <w:num w:numId="21">
    <w:abstractNumId w:val="6"/>
  </w:num>
  <w:num w:numId="22">
    <w:abstractNumId w:val="2"/>
  </w:num>
  <w:num w:numId="23">
    <w:abstractNumId w:val="12"/>
  </w:num>
  <w:num w:numId="24">
    <w:abstractNumId w:val="13"/>
  </w:num>
  <w:num w:numId="25">
    <w:abstractNumId w:val="4"/>
  </w:num>
  <w:num w:numId="26">
    <w:abstractNumId w:val="10"/>
  </w:num>
  <w:num w:numId="27">
    <w:abstractNumId w:val="9"/>
  </w:num>
  <w:num w:numId="28">
    <w:abstractNumId w:val="17"/>
  </w:num>
  <w:num w:numId="29">
    <w:abstractNumId w:val="1"/>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360*"/>
    <w:docVar w:name="CreationDt" w:val="26/09/2019 6:58: PM"/>
    <w:docVar w:name="DocCategory" w:val="Doc"/>
    <w:docVar w:name="DocType" w:val="Final"/>
    <w:docVar w:name="DutyStation" w:val="New York"/>
    <w:docVar w:name="FooterJN" w:val="19-16360"/>
    <w:docVar w:name="jobn" w:val="19-16360 (F)"/>
    <w:docVar w:name="jobnDT" w:val="19-16360 (F)   260919"/>
    <w:docVar w:name="jobnDTDT" w:val="19-16360 (F)   260919   260919"/>
    <w:docVar w:name="JobNo" w:val="1916360F"/>
    <w:docVar w:name="JobNo2" w:val="1929091F"/>
    <w:docVar w:name="LocalDrive" w:val="0"/>
    <w:docVar w:name="OandT" w:val="ild"/>
    <w:docVar w:name="sss1" w:val="ST/AI/2019/4"/>
    <w:docVar w:name="sss2" w:val="-"/>
    <w:docVar w:name="Symbol1" w:val="ST/AI/2019/4"/>
    <w:docVar w:name="Symbol2" w:val="-"/>
  </w:docVars>
  <w:rsids>
    <w:rsidRoot w:val="00077A99"/>
    <w:rsid w:val="00002584"/>
    <w:rsid w:val="000051F6"/>
    <w:rsid w:val="00053A90"/>
    <w:rsid w:val="0006491F"/>
    <w:rsid w:val="00071710"/>
    <w:rsid w:val="00071D43"/>
    <w:rsid w:val="000758B2"/>
    <w:rsid w:val="00077A99"/>
    <w:rsid w:val="00082144"/>
    <w:rsid w:val="00085EBE"/>
    <w:rsid w:val="000C7676"/>
    <w:rsid w:val="00101B18"/>
    <w:rsid w:val="00122A56"/>
    <w:rsid w:val="00126984"/>
    <w:rsid w:val="00134FEE"/>
    <w:rsid w:val="00146C6A"/>
    <w:rsid w:val="00166A0D"/>
    <w:rsid w:val="0019295A"/>
    <w:rsid w:val="001B0067"/>
    <w:rsid w:val="001B3F08"/>
    <w:rsid w:val="001B6BF6"/>
    <w:rsid w:val="001E4B50"/>
    <w:rsid w:val="0020051D"/>
    <w:rsid w:val="0020733B"/>
    <w:rsid w:val="00245107"/>
    <w:rsid w:val="00245FDC"/>
    <w:rsid w:val="002478A0"/>
    <w:rsid w:val="00250856"/>
    <w:rsid w:val="00250B68"/>
    <w:rsid w:val="002560A5"/>
    <w:rsid w:val="00284E24"/>
    <w:rsid w:val="002A5E20"/>
    <w:rsid w:val="002C7217"/>
    <w:rsid w:val="002D1ABB"/>
    <w:rsid w:val="00304240"/>
    <w:rsid w:val="0030765E"/>
    <w:rsid w:val="00324079"/>
    <w:rsid w:val="003339F9"/>
    <w:rsid w:val="00366D21"/>
    <w:rsid w:val="003A675A"/>
    <w:rsid w:val="003B4D19"/>
    <w:rsid w:val="003F1EDE"/>
    <w:rsid w:val="003F61E1"/>
    <w:rsid w:val="00403B22"/>
    <w:rsid w:val="0042213A"/>
    <w:rsid w:val="00440C93"/>
    <w:rsid w:val="00452296"/>
    <w:rsid w:val="0046482C"/>
    <w:rsid w:val="0048037D"/>
    <w:rsid w:val="00480B84"/>
    <w:rsid w:val="004A04AD"/>
    <w:rsid w:val="004A42E8"/>
    <w:rsid w:val="004B64F9"/>
    <w:rsid w:val="004C1A25"/>
    <w:rsid w:val="004C5044"/>
    <w:rsid w:val="004C5E63"/>
    <w:rsid w:val="004E6066"/>
    <w:rsid w:val="00501126"/>
    <w:rsid w:val="00515991"/>
    <w:rsid w:val="00521259"/>
    <w:rsid w:val="005225EC"/>
    <w:rsid w:val="00525097"/>
    <w:rsid w:val="0054309A"/>
    <w:rsid w:val="005509B6"/>
    <w:rsid w:val="00570A01"/>
    <w:rsid w:val="00577A36"/>
    <w:rsid w:val="00580CF2"/>
    <w:rsid w:val="00580F3B"/>
    <w:rsid w:val="00597787"/>
    <w:rsid w:val="005B398E"/>
    <w:rsid w:val="005B3C55"/>
    <w:rsid w:val="005B5EF7"/>
    <w:rsid w:val="005C03A7"/>
    <w:rsid w:val="005C5DF1"/>
    <w:rsid w:val="005F1F5F"/>
    <w:rsid w:val="00632C10"/>
    <w:rsid w:val="0063544B"/>
    <w:rsid w:val="00642663"/>
    <w:rsid w:val="00657901"/>
    <w:rsid w:val="00686C17"/>
    <w:rsid w:val="00690698"/>
    <w:rsid w:val="006A7E98"/>
    <w:rsid w:val="006C3D63"/>
    <w:rsid w:val="006E0795"/>
    <w:rsid w:val="006E47B9"/>
    <w:rsid w:val="006E4A4B"/>
    <w:rsid w:val="006F4EDD"/>
    <w:rsid w:val="00703106"/>
    <w:rsid w:val="0072209C"/>
    <w:rsid w:val="00732293"/>
    <w:rsid w:val="007459AE"/>
    <w:rsid w:val="007531A5"/>
    <w:rsid w:val="00762FE9"/>
    <w:rsid w:val="007639BE"/>
    <w:rsid w:val="0077153E"/>
    <w:rsid w:val="00771C9E"/>
    <w:rsid w:val="0077254F"/>
    <w:rsid w:val="007B0B09"/>
    <w:rsid w:val="007B47F7"/>
    <w:rsid w:val="007C410E"/>
    <w:rsid w:val="007C7D3B"/>
    <w:rsid w:val="007D74EF"/>
    <w:rsid w:val="007F4F68"/>
    <w:rsid w:val="00814626"/>
    <w:rsid w:val="00816FF8"/>
    <w:rsid w:val="0082045E"/>
    <w:rsid w:val="008222A3"/>
    <w:rsid w:val="0083736A"/>
    <w:rsid w:val="00886CF2"/>
    <w:rsid w:val="008B0273"/>
    <w:rsid w:val="008D434B"/>
    <w:rsid w:val="008F0D2D"/>
    <w:rsid w:val="008F3462"/>
    <w:rsid w:val="0090756B"/>
    <w:rsid w:val="00907AB0"/>
    <w:rsid w:val="00935932"/>
    <w:rsid w:val="009547DC"/>
    <w:rsid w:val="00980524"/>
    <w:rsid w:val="00982F5E"/>
    <w:rsid w:val="00993CB7"/>
    <w:rsid w:val="00994877"/>
    <w:rsid w:val="00995743"/>
    <w:rsid w:val="009D0EE3"/>
    <w:rsid w:val="009D430D"/>
    <w:rsid w:val="00A147C8"/>
    <w:rsid w:val="00A23089"/>
    <w:rsid w:val="00A2494D"/>
    <w:rsid w:val="00A30C2E"/>
    <w:rsid w:val="00A536A1"/>
    <w:rsid w:val="00A97327"/>
    <w:rsid w:val="00AA3A6A"/>
    <w:rsid w:val="00AA77E9"/>
    <w:rsid w:val="00AB0B7D"/>
    <w:rsid w:val="00AC229E"/>
    <w:rsid w:val="00AD5F2F"/>
    <w:rsid w:val="00AF2E58"/>
    <w:rsid w:val="00AF5026"/>
    <w:rsid w:val="00B170DC"/>
    <w:rsid w:val="00B27151"/>
    <w:rsid w:val="00B30521"/>
    <w:rsid w:val="00B43052"/>
    <w:rsid w:val="00B6292E"/>
    <w:rsid w:val="00B74564"/>
    <w:rsid w:val="00B84CEB"/>
    <w:rsid w:val="00B858D5"/>
    <w:rsid w:val="00B95912"/>
    <w:rsid w:val="00BA2592"/>
    <w:rsid w:val="00BB7C1D"/>
    <w:rsid w:val="00BC151F"/>
    <w:rsid w:val="00BC2070"/>
    <w:rsid w:val="00BC2A66"/>
    <w:rsid w:val="00BC7A8F"/>
    <w:rsid w:val="00C248E5"/>
    <w:rsid w:val="00C30B54"/>
    <w:rsid w:val="00C420BA"/>
    <w:rsid w:val="00C85683"/>
    <w:rsid w:val="00C969F6"/>
    <w:rsid w:val="00CA10CE"/>
    <w:rsid w:val="00CB06FB"/>
    <w:rsid w:val="00CB6186"/>
    <w:rsid w:val="00CB63C5"/>
    <w:rsid w:val="00CC587D"/>
    <w:rsid w:val="00D21632"/>
    <w:rsid w:val="00D30EED"/>
    <w:rsid w:val="00DC7881"/>
    <w:rsid w:val="00DE30C3"/>
    <w:rsid w:val="00DE43C8"/>
    <w:rsid w:val="00E126C3"/>
    <w:rsid w:val="00E13A01"/>
    <w:rsid w:val="00E343A6"/>
    <w:rsid w:val="00E4409F"/>
    <w:rsid w:val="00E443AC"/>
    <w:rsid w:val="00E47A1E"/>
    <w:rsid w:val="00E7105F"/>
    <w:rsid w:val="00E72D23"/>
    <w:rsid w:val="00E90E02"/>
    <w:rsid w:val="00EB42C0"/>
    <w:rsid w:val="00EE37EC"/>
    <w:rsid w:val="00EF2DFA"/>
    <w:rsid w:val="00F029DC"/>
    <w:rsid w:val="00F04A9B"/>
    <w:rsid w:val="00F23D9E"/>
    <w:rsid w:val="00F313F6"/>
    <w:rsid w:val="00F356A3"/>
    <w:rsid w:val="00F47207"/>
    <w:rsid w:val="00F5012D"/>
    <w:rsid w:val="00F73093"/>
    <w:rsid w:val="00F92FE4"/>
    <w:rsid w:val="00FA3D05"/>
    <w:rsid w:val="00FA5CC9"/>
    <w:rsid w:val="00FB0A2C"/>
    <w:rsid w:val="00FB693D"/>
    <w:rsid w:val="00FC59F1"/>
    <w:rsid w:val="00FD61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7A9639D1"/>
  <w15:chartTrackingRefBased/>
  <w15:docId w15:val="{7E780A22-5B83-4E99-927C-E1283378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56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74564"/>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4564"/>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4564"/>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4564"/>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4564"/>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4564"/>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4564"/>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4564"/>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4564"/>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4564"/>
    <w:pPr>
      <w:keepNext/>
      <w:keepLines/>
      <w:suppressAutoHyphens/>
      <w:spacing w:line="270" w:lineRule="exact"/>
      <w:outlineLvl w:val="0"/>
    </w:pPr>
    <w:rPr>
      <w:b/>
      <w:sz w:val="24"/>
    </w:rPr>
  </w:style>
  <w:style w:type="paragraph" w:customStyle="1" w:styleId="HCH">
    <w:name w:val="_ H _CH"/>
    <w:basedOn w:val="H1"/>
    <w:next w:val="Normal"/>
    <w:qFormat/>
    <w:rsid w:val="00B74564"/>
    <w:pPr>
      <w:spacing w:line="300" w:lineRule="exact"/>
    </w:pPr>
    <w:rPr>
      <w:spacing w:val="-2"/>
      <w:sz w:val="28"/>
    </w:rPr>
  </w:style>
  <w:style w:type="paragraph" w:customStyle="1" w:styleId="HM">
    <w:name w:val="_ H __M"/>
    <w:basedOn w:val="HCH"/>
    <w:next w:val="Normal"/>
    <w:qFormat/>
    <w:rsid w:val="00B74564"/>
    <w:pPr>
      <w:spacing w:line="360" w:lineRule="exact"/>
    </w:pPr>
    <w:rPr>
      <w:spacing w:val="-3"/>
      <w:w w:val="99"/>
      <w:sz w:val="34"/>
    </w:rPr>
  </w:style>
  <w:style w:type="paragraph" w:customStyle="1" w:styleId="H23">
    <w:name w:val="_ H_2/3"/>
    <w:basedOn w:val="H1"/>
    <w:next w:val="SingleTxt"/>
    <w:qFormat/>
    <w:rsid w:val="00B74564"/>
    <w:pPr>
      <w:spacing w:line="240" w:lineRule="exact"/>
      <w:outlineLvl w:val="1"/>
    </w:pPr>
    <w:rPr>
      <w:spacing w:val="2"/>
      <w:sz w:val="20"/>
    </w:rPr>
  </w:style>
  <w:style w:type="paragraph" w:customStyle="1" w:styleId="H4">
    <w:name w:val="_ H_4"/>
    <w:basedOn w:val="Normal"/>
    <w:next w:val="Normal"/>
    <w:qFormat/>
    <w:rsid w:val="00B74564"/>
    <w:pPr>
      <w:keepNext/>
      <w:keepLines/>
      <w:tabs>
        <w:tab w:val="right" w:pos="360"/>
      </w:tabs>
      <w:suppressAutoHyphens/>
      <w:outlineLvl w:val="3"/>
    </w:pPr>
    <w:rPr>
      <w:i/>
      <w:spacing w:val="3"/>
    </w:rPr>
  </w:style>
  <w:style w:type="paragraph" w:customStyle="1" w:styleId="H56">
    <w:name w:val="_ H_5/6"/>
    <w:basedOn w:val="Normal"/>
    <w:next w:val="Normal"/>
    <w:qFormat/>
    <w:rsid w:val="00B7456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456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456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4564"/>
    <w:pPr>
      <w:spacing w:line="540" w:lineRule="exact"/>
    </w:pPr>
    <w:rPr>
      <w:spacing w:val="-8"/>
      <w:w w:val="96"/>
      <w:sz w:val="57"/>
    </w:rPr>
  </w:style>
  <w:style w:type="paragraph" w:customStyle="1" w:styleId="SS">
    <w:name w:val="__S_S"/>
    <w:basedOn w:val="HCH"/>
    <w:next w:val="Normal"/>
    <w:qFormat/>
    <w:rsid w:val="00B74564"/>
    <w:pPr>
      <w:ind w:left="1267" w:right="1267"/>
    </w:pPr>
  </w:style>
  <w:style w:type="paragraph" w:customStyle="1" w:styleId="SingleTxt">
    <w:name w:val="__Single Txt"/>
    <w:basedOn w:val="Normal"/>
    <w:qFormat/>
    <w:rsid w:val="00B745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7456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745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7456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745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456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74564"/>
    <w:pPr>
      <w:numPr>
        <w:numId w:val="5"/>
      </w:numPr>
      <w:spacing w:after="120"/>
      <w:ind w:right="1267"/>
      <w:jc w:val="both"/>
    </w:pPr>
  </w:style>
  <w:style w:type="paragraph" w:customStyle="1" w:styleId="Bullet2">
    <w:name w:val="Bullet 2"/>
    <w:basedOn w:val="Normal"/>
    <w:qFormat/>
    <w:rsid w:val="00B74564"/>
    <w:pPr>
      <w:numPr>
        <w:numId w:val="6"/>
      </w:numPr>
      <w:spacing w:after="120"/>
      <w:ind w:right="1264"/>
      <w:jc w:val="both"/>
    </w:pPr>
  </w:style>
  <w:style w:type="paragraph" w:customStyle="1" w:styleId="Bullet3">
    <w:name w:val="Bullet 3"/>
    <w:basedOn w:val="SingleTxt"/>
    <w:qFormat/>
    <w:rsid w:val="00B74564"/>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456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745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4564"/>
    <w:pPr>
      <w:spacing w:line="210" w:lineRule="exact"/>
    </w:pPr>
    <w:rPr>
      <w:sz w:val="17"/>
      <w:szCs w:val="20"/>
    </w:rPr>
  </w:style>
  <w:style w:type="character" w:customStyle="1" w:styleId="EndnoteTextChar">
    <w:name w:val="Endnote Text Char"/>
    <w:link w:val="EndnoteText"/>
    <w:uiPriority w:val="99"/>
    <w:semiHidden/>
    <w:rsid w:val="00B7456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7456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74564"/>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B745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74564"/>
    <w:pPr>
      <w:spacing w:line="210" w:lineRule="exact"/>
    </w:pPr>
    <w:rPr>
      <w:sz w:val="17"/>
      <w:szCs w:val="20"/>
    </w:rPr>
  </w:style>
  <w:style w:type="character" w:customStyle="1" w:styleId="FootnoteTextChar">
    <w:name w:val="Footnote Text Char"/>
    <w:link w:val="FootnoteText"/>
    <w:rsid w:val="00B7456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7456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7456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7456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7456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7456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7456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7456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7456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7456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7456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7456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74564"/>
    <w:rPr>
      <w:sz w:val="14"/>
    </w:rPr>
  </w:style>
  <w:style w:type="paragraph" w:styleId="ListParagraph">
    <w:name w:val="List Paragraph"/>
    <w:basedOn w:val="Normal"/>
    <w:uiPriority w:val="34"/>
    <w:rsid w:val="00B74564"/>
    <w:pPr>
      <w:ind w:left="720"/>
      <w:contextualSpacing/>
    </w:pPr>
  </w:style>
  <w:style w:type="paragraph" w:styleId="NoSpacing">
    <w:name w:val="No Spacing"/>
    <w:uiPriority w:val="1"/>
    <w:rsid w:val="00B7456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7456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7456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7456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4564"/>
    <w:pPr>
      <w:tabs>
        <w:tab w:val="right" w:pos="9965"/>
      </w:tabs>
      <w:spacing w:line="210" w:lineRule="exact"/>
    </w:pPr>
    <w:rPr>
      <w:spacing w:val="5"/>
      <w:w w:val="104"/>
      <w:sz w:val="17"/>
    </w:rPr>
  </w:style>
  <w:style w:type="paragraph" w:customStyle="1" w:styleId="SmallX">
    <w:name w:val="SmallX"/>
    <w:basedOn w:val="Small"/>
    <w:next w:val="Normal"/>
    <w:qFormat/>
    <w:rsid w:val="00B74564"/>
    <w:pPr>
      <w:spacing w:line="180" w:lineRule="exact"/>
      <w:jc w:val="right"/>
    </w:pPr>
    <w:rPr>
      <w:spacing w:val="6"/>
      <w:w w:val="106"/>
      <w:sz w:val="14"/>
    </w:rPr>
  </w:style>
  <w:style w:type="character" w:styleId="Strong">
    <w:name w:val="Strong"/>
    <w:uiPriority w:val="22"/>
    <w:rsid w:val="00B74564"/>
    <w:rPr>
      <w:b/>
      <w:bCs/>
    </w:rPr>
  </w:style>
  <w:style w:type="paragraph" w:customStyle="1" w:styleId="Style1">
    <w:name w:val="Style1"/>
    <w:basedOn w:val="Normal"/>
    <w:qFormat/>
    <w:rsid w:val="00B74564"/>
  </w:style>
  <w:style w:type="paragraph" w:customStyle="1" w:styleId="Style2">
    <w:name w:val="Style2"/>
    <w:basedOn w:val="Normal"/>
    <w:autoRedefine/>
    <w:qFormat/>
    <w:rsid w:val="00B74564"/>
  </w:style>
  <w:style w:type="paragraph" w:customStyle="1" w:styleId="TitleHCH">
    <w:name w:val="Title_H_CH"/>
    <w:basedOn w:val="H1"/>
    <w:next w:val="Normal"/>
    <w:qFormat/>
    <w:rsid w:val="00B745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745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74564"/>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character" w:styleId="CommentReference">
    <w:name w:val="annotation reference"/>
    <w:basedOn w:val="DefaultParagraphFont"/>
    <w:uiPriority w:val="99"/>
    <w:semiHidden/>
    <w:unhideWhenUsed/>
    <w:rsid w:val="008D434B"/>
    <w:rPr>
      <w:sz w:val="16"/>
      <w:szCs w:val="16"/>
    </w:rPr>
  </w:style>
  <w:style w:type="paragraph" w:styleId="CommentText">
    <w:name w:val="annotation text"/>
    <w:basedOn w:val="Normal"/>
    <w:link w:val="CommentTextChar"/>
    <w:uiPriority w:val="99"/>
    <w:semiHidden/>
    <w:unhideWhenUsed/>
    <w:rsid w:val="008D434B"/>
    <w:pPr>
      <w:spacing w:line="240" w:lineRule="auto"/>
    </w:pPr>
    <w:rPr>
      <w:szCs w:val="20"/>
    </w:rPr>
  </w:style>
  <w:style w:type="character" w:customStyle="1" w:styleId="CommentTextChar">
    <w:name w:val="Comment Text Char"/>
    <w:basedOn w:val="DefaultParagraphFont"/>
    <w:link w:val="CommentText"/>
    <w:uiPriority w:val="99"/>
    <w:semiHidden/>
    <w:rsid w:val="008D434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D434B"/>
    <w:rPr>
      <w:b/>
      <w:bCs/>
    </w:rPr>
  </w:style>
  <w:style w:type="character" w:customStyle="1" w:styleId="CommentSubjectChar">
    <w:name w:val="Comment Subject Char"/>
    <w:basedOn w:val="CommentTextChar"/>
    <w:link w:val="CommentSubject"/>
    <w:uiPriority w:val="99"/>
    <w:semiHidden/>
    <w:rsid w:val="008D434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C151F"/>
    <w:rPr>
      <w:color w:val="0000FF" w:themeColor="hyperlink"/>
      <w:u w:val="none"/>
    </w:rPr>
  </w:style>
  <w:style w:type="character" w:styleId="FollowedHyperlink">
    <w:name w:val="FollowedHyperlink"/>
    <w:basedOn w:val="DefaultParagraphFont"/>
    <w:uiPriority w:val="99"/>
    <w:semiHidden/>
    <w:unhideWhenUsed/>
    <w:rsid w:val="00BC151F"/>
    <w:rPr>
      <w:color w:val="0000FF"/>
      <w:u w:val="none"/>
    </w:rPr>
  </w:style>
  <w:style w:type="character" w:styleId="UnresolvedMention">
    <w:name w:val="Unresolved Mention"/>
    <w:basedOn w:val="DefaultParagraphFont"/>
    <w:uiPriority w:val="99"/>
    <w:semiHidden/>
    <w:unhideWhenUsed/>
    <w:rsid w:val="00BC151F"/>
    <w:rPr>
      <w:color w:val="605E5C"/>
      <w:shd w:val="clear" w:color="auto" w:fill="E1DFDD"/>
    </w:rPr>
  </w:style>
  <w:style w:type="paragraph" w:styleId="Revision">
    <w:name w:val="Revision"/>
    <w:hidden/>
    <w:uiPriority w:val="99"/>
    <w:semiHidden/>
    <w:rsid w:val="00C8568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4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9/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38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ST/AI/2008/1" TargetMode="External"/><Relationship Id="rId1" Type="http://schemas.openxmlformats.org/officeDocument/2006/relationships/hyperlink" Target="https://undocs.org/fr/ST/SGB/200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Veronica Hoyos Farfan</cp:lastModifiedBy>
  <cp:revision>3</cp:revision>
  <cp:lastPrinted>2019-09-26T23:58:00Z</cp:lastPrinted>
  <dcterms:created xsi:type="dcterms:W3CDTF">2019-12-09T16:00:00Z</dcterms:created>
  <dcterms:modified xsi:type="dcterms:W3CDTF">2019-12-09T17:44:00Z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1916360F</vt:lpwstr>
  </property>
  <property fmtid="{D5CDD505-2E9C-101B-9397-08002B2CF9AE}" pid="3" name="ODSRefJobNo">
    <vt:lpwstr>1929091F</vt:lpwstr>
  </property>
  <property fmtid="{D5CDD505-2E9C-101B-9397-08002B2CF9AE}" pid="4" name="Symbol1">
    <vt:lpwstr>ST/AI/2019/4</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septembre 2019</vt:lpwstr>
  </property>
  <property fmtid="{D5CDD505-2E9C-101B-9397-08002B2CF9AE}" pid="14" name="Original">
    <vt:lpwstr>anglais</vt:lpwstr>
  </property>
  <property fmtid="{D5CDD505-2E9C-101B-9397-08002B2CF9AE}" pid="15" name="Release Date">
    <vt:lpwstr>260919</vt:lpwstr>
  </property>
</Properties>
</file>