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D5F2F" w14:textId="77777777" w:rsidR="00C709C4" w:rsidRPr="00DC420E" w:rsidRDefault="00C709C4" w:rsidP="00C709C4">
      <w:pPr>
        <w:spacing w:line="240" w:lineRule="auto"/>
        <w:rPr>
          <w:sz w:val="2"/>
          <w:lang w:val="fr-FR"/>
        </w:rPr>
        <w:sectPr w:rsidR="00C709C4" w:rsidRPr="00DC420E" w:rsidSect="00B06AB2">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p>
    <w:p w14:paraId="0BC05911" w14:textId="27373C0C" w:rsidR="00B06AB2" w:rsidRPr="00DC420E" w:rsidRDefault="0045775A" w:rsidP="004577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Pr="00DC420E">
        <w:rPr>
          <w:lang w:val="fr-FR"/>
        </w:rPr>
        <w:tab/>
      </w:r>
      <w:r w:rsidR="00B06AB2" w:rsidRPr="00DC420E">
        <w:rPr>
          <w:lang w:val="fr-FR"/>
        </w:rPr>
        <w:t>Instruction administrative</w:t>
      </w:r>
    </w:p>
    <w:p w14:paraId="6D25A848" w14:textId="0D076CBB" w:rsidR="00B06AB2" w:rsidRPr="00DC420E" w:rsidRDefault="00B06AB2" w:rsidP="0045775A">
      <w:pPr>
        <w:pStyle w:val="SingleTxt"/>
        <w:spacing w:after="0" w:line="120" w:lineRule="exact"/>
        <w:rPr>
          <w:sz w:val="10"/>
          <w:lang w:val="fr-FR"/>
        </w:rPr>
      </w:pPr>
    </w:p>
    <w:p w14:paraId="70E309A3" w14:textId="50F5ABE6" w:rsidR="0045775A" w:rsidRPr="00DC420E" w:rsidRDefault="0045775A" w:rsidP="0045775A">
      <w:pPr>
        <w:pStyle w:val="SingleTxt"/>
        <w:spacing w:after="0" w:line="120" w:lineRule="exact"/>
        <w:rPr>
          <w:sz w:val="10"/>
          <w:lang w:val="fr-FR"/>
        </w:rPr>
      </w:pPr>
    </w:p>
    <w:p w14:paraId="4EBEEE59" w14:textId="5DF093B1" w:rsidR="00B06AB2" w:rsidRPr="00DC420E" w:rsidRDefault="0045775A" w:rsidP="0045775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00B06AB2" w:rsidRPr="00DC420E">
        <w:rPr>
          <w:lang w:val="fr-FR"/>
        </w:rPr>
        <w:tab/>
        <w:t>Congé de détente</w:t>
      </w:r>
    </w:p>
    <w:p w14:paraId="0DCAAFFD" w14:textId="715ECCFB" w:rsidR="00B06AB2" w:rsidRPr="00DC420E" w:rsidRDefault="00B06AB2" w:rsidP="0045775A">
      <w:pPr>
        <w:pStyle w:val="SingleTxt"/>
        <w:spacing w:after="0" w:line="120" w:lineRule="exact"/>
        <w:rPr>
          <w:sz w:val="10"/>
          <w:lang w:val="fr-FR"/>
        </w:rPr>
      </w:pPr>
    </w:p>
    <w:p w14:paraId="5CEAB7A9" w14:textId="3394BF9D" w:rsidR="0045775A" w:rsidRPr="00DC420E" w:rsidRDefault="0045775A" w:rsidP="0045775A">
      <w:pPr>
        <w:pStyle w:val="SingleTxt"/>
        <w:spacing w:after="0" w:line="120" w:lineRule="exact"/>
        <w:rPr>
          <w:sz w:val="10"/>
          <w:lang w:val="fr-FR"/>
        </w:rPr>
      </w:pPr>
    </w:p>
    <w:p w14:paraId="0B7BB11A" w14:textId="36115C99" w:rsidR="00B06AB2" w:rsidRPr="00DC420E" w:rsidRDefault="0045775A" w:rsidP="00B06AB2">
      <w:pPr>
        <w:pStyle w:val="SingleTxt"/>
        <w:rPr>
          <w:lang w:val="fr-FR"/>
        </w:rPr>
      </w:pPr>
      <w:r w:rsidRPr="00DC420E">
        <w:rPr>
          <w:lang w:val="fr-FR"/>
        </w:rPr>
        <w:tab/>
      </w:r>
      <w:r w:rsidR="00B06AB2" w:rsidRPr="00DC420E">
        <w:rPr>
          <w:lang w:val="fr-FR"/>
        </w:rPr>
        <w:t xml:space="preserve">Conformément au paragraphe 4.2 de la circulaire </w:t>
      </w:r>
      <w:hyperlink r:id="rId14" w:history="1">
        <w:r w:rsidR="00B06AB2" w:rsidRPr="00DC420E">
          <w:rPr>
            <w:rStyle w:val="Hyperlink"/>
            <w:lang w:val="fr-FR"/>
          </w:rPr>
          <w:t>ST/SGB/2009/4</w:t>
        </w:r>
      </w:hyperlink>
      <w:r w:rsidR="00B06AB2" w:rsidRPr="00DC420E">
        <w:rPr>
          <w:lang w:val="fr-FR"/>
        </w:rPr>
        <w:t xml:space="preserve"> du Secrétaire général et aux fins de l</w:t>
      </w:r>
      <w:r w:rsidR="00021FCB" w:rsidRPr="00DC420E">
        <w:rPr>
          <w:lang w:val="fr-FR"/>
        </w:rPr>
        <w:t>’</w:t>
      </w:r>
      <w:r w:rsidR="00B06AB2" w:rsidRPr="00DC420E">
        <w:rPr>
          <w:lang w:val="fr-FR"/>
        </w:rPr>
        <w:t xml:space="preserve">application des paragraphes 6 et 8 de la section C de la résolution </w:t>
      </w:r>
      <w:hyperlink r:id="rId15" w:history="1">
        <w:r w:rsidR="00B06AB2" w:rsidRPr="00DC420E">
          <w:rPr>
            <w:rStyle w:val="Hyperlink"/>
            <w:lang w:val="fr-FR"/>
          </w:rPr>
          <w:t>65/248</w:t>
        </w:r>
      </w:hyperlink>
      <w:r w:rsidR="00B06AB2" w:rsidRPr="00DC420E">
        <w:rPr>
          <w:lang w:val="fr-FR"/>
        </w:rPr>
        <w:t xml:space="preserve"> et des résolutions </w:t>
      </w:r>
      <w:hyperlink r:id="rId16" w:history="1">
        <w:r w:rsidR="00B06AB2" w:rsidRPr="00DC420E">
          <w:rPr>
            <w:rStyle w:val="Hyperlink"/>
            <w:lang w:val="fr-FR"/>
          </w:rPr>
          <w:t>66/235</w:t>
        </w:r>
      </w:hyperlink>
      <w:r w:rsidR="00B06AB2" w:rsidRPr="00DC420E">
        <w:rPr>
          <w:lang w:val="fr-FR"/>
        </w:rPr>
        <w:t xml:space="preserve"> A et B de l</w:t>
      </w:r>
      <w:r w:rsidR="00021FCB" w:rsidRPr="00DC420E">
        <w:rPr>
          <w:lang w:val="fr-FR"/>
        </w:rPr>
        <w:t>’</w:t>
      </w:r>
      <w:r w:rsidR="00B06AB2" w:rsidRPr="00DC420E">
        <w:rPr>
          <w:lang w:val="fr-FR"/>
        </w:rPr>
        <w:t>Assemblée générale, la Secrétaire générale adjointe à la gestion promulgue ce qui suit</w:t>
      </w:r>
      <w:bookmarkStart w:id="1" w:name="_Hlt297283758"/>
      <w:bookmarkStart w:id="2" w:name="_Hlt297283759"/>
      <w:bookmarkEnd w:id="1"/>
      <w:bookmarkEnd w:id="2"/>
      <w:r w:rsidR="007D7217" w:rsidRPr="00DC420E">
        <w:rPr>
          <w:lang w:val="fr-FR"/>
        </w:rPr>
        <w:t> :</w:t>
      </w:r>
    </w:p>
    <w:p w14:paraId="2345E506" w14:textId="38422F33" w:rsidR="00B06AB2" w:rsidRPr="00DC420E" w:rsidRDefault="00B06AB2" w:rsidP="007D7217">
      <w:pPr>
        <w:pStyle w:val="SingleTxt"/>
        <w:spacing w:after="0" w:line="120" w:lineRule="exact"/>
        <w:rPr>
          <w:sz w:val="10"/>
          <w:lang w:val="fr-FR"/>
        </w:rPr>
      </w:pPr>
    </w:p>
    <w:p w14:paraId="1E3C587C" w14:textId="531A36B8" w:rsidR="00B06AB2" w:rsidRPr="00DC420E" w:rsidRDefault="00B06AB2" w:rsidP="007D7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006123D4" w:rsidRPr="00DC420E">
        <w:rPr>
          <w:lang w:val="fr-FR"/>
        </w:rPr>
        <w:tab/>
      </w:r>
      <w:r w:rsidRPr="00DC420E">
        <w:rPr>
          <w:lang w:val="fr-FR"/>
        </w:rPr>
        <w:t>Section 1</w:t>
      </w:r>
      <w:r w:rsidR="006123D4" w:rsidRPr="00DC420E">
        <w:rPr>
          <w:lang w:val="fr-FR"/>
        </w:rPr>
        <w:t xml:space="preserve"> </w:t>
      </w:r>
      <w:r w:rsidR="006123D4" w:rsidRPr="00DC420E">
        <w:rPr>
          <w:lang w:val="fr-FR"/>
        </w:rPr>
        <w:br/>
      </w:r>
      <w:r w:rsidRPr="00DC420E">
        <w:rPr>
          <w:lang w:val="fr-FR"/>
        </w:rPr>
        <w:t>Dispositions générales</w:t>
      </w:r>
    </w:p>
    <w:p w14:paraId="0C1B56C8" w14:textId="1D1C8C43" w:rsidR="00B06AB2" w:rsidRPr="00DC420E" w:rsidRDefault="00B06AB2" w:rsidP="007D7217">
      <w:pPr>
        <w:pStyle w:val="SingleTxt"/>
        <w:spacing w:after="0" w:line="120" w:lineRule="exact"/>
        <w:rPr>
          <w:sz w:val="10"/>
          <w:lang w:val="fr-FR"/>
        </w:rPr>
      </w:pPr>
    </w:p>
    <w:p w14:paraId="560D6AB9" w14:textId="5B0BDBDC" w:rsidR="00C36155" w:rsidRPr="00DC420E" w:rsidRDefault="006123D4" w:rsidP="006123D4">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00B06AB2" w:rsidRPr="00DC420E">
        <w:rPr>
          <w:lang w:val="fr-FR"/>
        </w:rPr>
        <w:tab/>
        <w:t>Objectif</w:t>
      </w:r>
    </w:p>
    <w:p w14:paraId="2787FD9D" w14:textId="6CB9CFDA" w:rsidR="00B06AB2" w:rsidRPr="00DC420E" w:rsidRDefault="00B06AB2" w:rsidP="007D7217">
      <w:pPr>
        <w:pStyle w:val="SingleTxt"/>
        <w:spacing w:after="0" w:line="120" w:lineRule="exact"/>
        <w:rPr>
          <w:sz w:val="10"/>
          <w:lang w:val="fr-FR"/>
        </w:rPr>
      </w:pPr>
    </w:p>
    <w:p w14:paraId="27193A71" w14:textId="60F8B5A5" w:rsidR="00B06AB2" w:rsidRPr="00DC420E" w:rsidRDefault="00B06AB2" w:rsidP="007D7217">
      <w:pPr>
        <w:pStyle w:val="SingleTxt"/>
        <w:numPr>
          <w:ilvl w:val="0"/>
          <w:numId w:val="31"/>
        </w:numPr>
        <w:spacing w:line="240" w:lineRule="exact"/>
        <w:rPr>
          <w:lang w:val="fr-FR"/>
        </w:rPr>
      </w:pPr>
      <w:r w:rsidRPr="00DC420E">
        <w:rPr>
          <w:lang w:val="fr-FR"/>
        </w:rPr>
        <w:t>Les fonctionnaires qui sont tenus de travailler pendant de longues périodes dans des conditions dangereuses, tendues et difficiles dans des lieux d</w:t>
      </w:r>
      <w:r w:rsidR="00021FCB" w:rsidRPr="00DC420E">
        <w:rPr>
          <w:lang w:val="fr-FR"/>
        </w:rPr>
        <w:t>’</w:t>
      </w:r>
      <w:r w:rsidRPr="00DC420E">
        <w:rPr>
          <w:lang w:val="fr-FR"/>
        </w:rPr>
        <w:t>affectation désignés peuvent bénéficier à intervalles réguliers de périodes de détente et de repos sous la forme d</w:t>
      </w:r>
      <w:r w:rsidR="00021FCB" w:rsidRPr="00DC420E">
        <w:rPr>
          <w:lang w:val="fr-FR"/>
        </w:rPr>
        <w:t>’</w:t>
      </w:r>
      <w:r w:rsidRPr="00DC420E">
        <w:rPr>
          <w:lang w:val="fr-FR"/>
        </w:rPr>
        <w:t>un congé de détente afin de préserver leur santé et leur bien-être et de les aider à s</w:t>
      </w:r>
      <w:r w:rsidR="00021FCB" w:rsidRPr="00DC420E">
        <w:rPr>
          <w:lang w:val="fr-FR"/>
        </w:rPr>
        <w:t>’</w:t>
      </w:r>
      <w:r w:rsidRPr="00DC420E">
        <w:rPr>
          <w:lang w:val="fr-FR"/>
        </w:rPr>
        <w:t>acquitter efficacement de leurs fonctions lorsqu</w:t>
      </w:r>
      <w:r w:rsidR="00021FCB" w:rsidRPr="00DC420E">
        <w:rPr>
          <w:lang w:val="fr-FR"/>
        </w:rPr>
        <w:t>’</w:t>
      </w:r>
      <w:r w:rsidRPr="00DC420E">
        <w:rPr>
          <w:lang w:val="fr-FR"/>
        </w:rPr>
        <w:t>ils reprennent le travail, tout en préservant la capacité opérationnelle de l</w:t>
      </w:r>
      <w:r w:rsidR="00021FCB" w:rsidRPr="00DC420E">
        <w:rPr>
          <w:lang w:val="fr-FR"/>
        </w:rPr>
        <w:t>’</w:t>
      </w:r>
      <w:r w:rsidRPr="00DC420E">
        <w:rPr>
          <w:lang w:val="fr-FR"/>
        </w:rPr>
        <w:t>Organisation. Il s</w:t>
      </w:r>
      <w:r w:rsidR="00021FCB" w:rsidRPr="00DC420E">
        <w:rPr>
          <w:lang w:val="fr-FR"/>
        </w:rPr>
        <w:t>’</w:t>
      </w:r>
      <w:r w:rsidRPr="00DC420E">
        <w:rPr>
          <w:lang w:val="fr-FR"/>
        </w:rPr>
        <w:t>agit d</w:t>
      </w:r>
      <w:r w:rsidR="00021FCB" w:rsidRPr="00DC420E">
        <w:rPr>
          <w:lang w:val="fr-FR"/>
        </w:rPr>
        <w:t>’</w:t>
      </w:r>
      <w:r w:rsidRPr="00DC420E">
        <w:rPr>
          <w:lang w:val="fr-FR"/>
        </w:rPr>
        <w:t>un moyen permettant aux membres du personnel de s</w:t>
      </w:r>
      <w:r w:rsidR="00021FCB" w:rsidRPr="00DC420E">
        <w:rPr>
          <w:lang w:val="fr-FR"/>
        </w:rPr>
        <w:t>’</w:t>
      </w:r>
      <w:r w:rsidRPr="00DC420E">
        <w:rPr>
          <w:lang w:val="fr-FR"/>
        </w:rPr>
        <w:t>éloigner de leur lieu d</w:t>
      </w:r>
      <w:r w:rsidR="00021FCB" w:rsidRPr="00DC420E">
        <w:rPr>
          <w:lang w:val="fr-FR"/>
        </w:rPr>
        <w:t>’</w:t>
      </w:r>
      <w:r w:rsidRPr="00DC420E">
        <w:rPr>
          <w:lang w:val="fr-FR"/>
        </w:rPr>
        <w:t>affectation pendant quelques jours et de ne plus être exposés le temps de ce congé aux dangers, au stress et aux conditions de vie et de travail difficiles qui y règnent. Le congé de détente ne donne pas droit à des jours de congé annuel supplémentaires et ne constitue pas une indemnité financière destinée à compenser des conditions de vie et de travail difficiles ou le manque de sécurité d</w:t>
      </w:r>
      <w:r w:rsidR="00021FCB" w:rsidRPr="00DC420E">
        <w:rPr>
          <w:lang w:val="fr-FR"/>
        </w:rPr>
        <w:t>’</w:t>
      </w:r>
      <w:r w:rsidRPr="00DC420E">
        <w:rPr>
          <w:lang w:val="fr-FR"/>
        </w:rPr>
        <w:t>un lieu d</w:t>
      </w:r>
      <w:r w:rsidR="00021FCB" w:rsidRPr="00DC420E">
        <w:rPr>
          <w:lang w:val="fr-FR"/>
        </w:rPr>
        <w:t>’</w:t>
      </w:r>
      <w:r w:rsidRPr="00DC420E">
        <w:rPr>
          <w:lang w:val="fr-FR"/>
        </w:rPr>
        <w:t>affectation.</w:t>
      </w:r>
    </w:p>
    <w:p w14:paraId="0DE3C2B1" w14:textId="4D9741B5" w:rsidR="00B06AB2" w:rsidRPr="00DC420E" w:rsidRDefault="00B06AB2" w:rsidP="007D7217">
      <w:pPr>
        <w:pStyle w:val="SingleTxt"/>
        <w:numPr>
          <w:ilvl w:val="0"/>
          <w:numId w:val="31"/>
        </w:numPr>
        <w:spacing w:line="240" w:lineRule="exact"/>
        <w:rPr>
          <w:lang w:val="fr-FR"/>
        </w:rPr>
      </w:pPr>
      <w:r w:rsidRPr="00DC420E">
        <w:rPr>
          <w:lang w:val="fr-FR"/>
        </w:rPr>
        <w:t>Le congé de détente est autorisé pour une durée de cinq jours civils consécutifs, qui ne sont pas déduits des congés annuels, auxquels vient s</w:t>
      </w:r>
      <w:r w:rsidR="00021FCB" w:rsidRPr="00DC420E">
        <w:rPr>
          <w:lang w:val="fr-FR"/>
        </w:rPr>
        <w:t>’</w:t>
      </w:r>
      <w:r w:rsidRPr="00DC420E">
        <w:rPr>
          <w:lang w:val="fr-FR"/>
        </w:rPr>
        <w:t>ajouter la durée effective du voyage aller retour entre le lieu d</w:t>
      </w:r>
      <w:r w:rsidR="00021FCB" w:rsidRPr="00DC420E">
        <w:rPr>
          <w:lang w:val="fr-FR"/>
        </w:rPr>
        <w:t>’</w:t>
      </w:r>
      <w:r w:rsidRPr="00DC420E">
        <w:rPr>
          <w:lang w:val="fr-FR"/>
        </w:rPr>
        <w:t>affectation et le lieu du congé de détente</w:t>
      </w:r>
      <w:r w:rsidRPr="00DC420E">
        <w:rPr>
          <w:vertAlign w:val="superscript"/>
          <w:lang w:val="fr-FR"/>
        </w:rPr>
        <w:footnoteReference w:id="1"/>
      </w:r>
      <w:r w:rsidR="008178D1" w:rsidRPr="00DC420E">
        <w:rPr>
          <w:lang w:val="fr-FR"/>
        </w:rPr>
        <w:t>.</w:t>
      </w:r>
      <w:r w:rsidRPr="00DC420E">
        <w:rPr>
          <w:lang w:val="fr-FR"/>
        </w:rPr>
        <w:t xml:space="preserve"> Afin de garantir la réalisation de l</w:t>
      </w:r>
      <w:r w:rsidR="00021FCB" w:rsidRPr="00DC420E">
        <w:rPr>
          <w:lang w:val="fr-FR"/>
        </w:rPr>
        <w:t>’</w:t>
      </w:r>
      <w:r w:rsidRPr="00DC420E">
        <w:rPr>
          <w:lang w:val="fr-FR"/>
        </w:rPr>
        <w:t>objectif décrit au paragraphe 1.1, le congé de détente est accordé dès que les conditions énoncées à la section 3 de la présente instruction ont été remplies.</w:t>
      </w:r>
    </w:p>
    <w:p w14:paraId="350D5C2A" w14:textId="5C958615" w:rsidR="00021FCB" w:rsidRPr="00DC420E" w:rsidRDefault="00021FCB" w:rsidP="007D7217">
      <w:pPr>
        <w:pStyle w:val="SingleTxt"/>
        <w:tabs>
          <w:tab w:val="clear" w:pos="1742"/>
        </w:tabs>
        <w:spacing w:after="0" w:line="120" w:lineRule="exact"/>
        <w:rPr>
          <w:sz w:val="10"/>
          <w:lang w:val="fr-FR"/>
        </w:rPr>
      </w:pPr>
    </w:p>
    <w:p w14:paraId="75B0B845" w14:textId="77777777" w:rsidR="00B06AB2" w:rsidRPr="00DC420E" w:rsidRDefault="00B06AB2"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lastRenderedPageBreak/>
        <w:tab/>
      </w:r>
      <w:r w:rsidRPr="00DC420E">
        <w:rPr>
          <w:lang w:val="fr-FR"/>
        </w:rPr>
        <w:tab/>
        <w:t>Conditions à remplir</w:t>
      </w:r>
    </w:p>
    <w:p w14:paraId="179A2335" w14:textId="78D297EF" w:rsidR="00B06AB2" w:rsidRPr="00DC420E" w:rsidRDefault="00B06AB2" w:rsidP="007D7217">
      <w:pPr>
        <w:pStyle w:val="SingleTxt"/>
        <w:spacing w:after="0" w:line="120" w:lineRule="exact"/>
        <w:rPr>
          <w:sz w:val="10"/>
          <w:lang w:val="fr-FR"/>
        </w:rPr>
      </w:pPr>
    </w:p>
    <w:p w14:paraId="5BC41352" w14:textId="7AF6DBAA" w:rsidR="00C36155" w:rsidRPr="00DC420E" w:rsidRDefault="00B06AB2" w:rsidP="00021FCB">
      <w:pPr>
        <w:pStyle w:val="SingleTxt"/>
        <w:numPr>
          <w:ilvl w:val="0"/>
          <w:numId w:val="31"/>
        </w:numPr>
        <w:spacing w:line="240" w:lineRule="exact"/>
        <w:rPr>
          <w:lang w:val="fr-FR"/>
        </w:rPr>
      </w:pPr>
      <w:r w:rsidRPr="00DC420E">
        <w:rPr>
          <w:lang w:val="fr-FR"/>
        </w:rPr>
        <w:t>Les personnes ci-après peuvent prétendre à un congé de détente</w:t>
      </w:r>
      <w:r w:rsidR="007D7217" w:rsidRPr="00DC420E">
        <w:rPr>
          <w:lang w:val="fr-FR"/>
        </w:rPr>
        <w:t> :</w:t>
      </w:r>
    </w:p>
    <w:p w14:paraId="0C262202" w14:textId="75A22976" w:rsidR="00C36155" w:rsidRPr="00DC420E" w:rsidRDefault="00B06AB2" w:rsidP="00B06AB2">
      <w:pPr>
        <w:pStyle w:val="SingleTxt"/>
        <w:rPr>
          <w:lang w:val="fr-FR"/>
        </w:rPr>
      </w:pPr>
      <w:r w:rsidRPr="00DC420E">
        <w:rPr>
          <w:lang w:val="fr-FR"/>
        </w:rPr>
        <w:tab/>
        <w:t>a)</w:t>
      </w:r>
      <w:r w:rsidRPr="00DC420E">
        <w:rPr>
          <w:lang w:val="fr-FR"/>
        </w:rPr>
        <w:tab/>
        <w:t>Les fonctionnaires recrutés sur le plan international qui exercent leurs fonctions ou sont en déplacement dans un lieu d</w:t>
      </w:r>
      <w:r w:rsidR="00021FCB" w:rsidRPr="00DC420E">
        <w:rPr>
          <w:lang w:val="fr-FR"/>
        </w:rPr>
        <w:t>’</w:t>
      </w:r>
      <w:r w:rsidRPr="00DC420E">
        <w:rPr>
          <w:lang w:val="fr-FR"/>
        </w:rPr>
        <w:t>affectation ouvrant droit au congé de détente</w:t>
      </w:r>
      <w:r w:rsidR="007D7217" w:rsidRPr="00DC420E">
        <w:rPr>
          <w:lang w:val="fr-FR"/>
        </w:rPr>
        <w:t> ;</w:t>
      </w:r>
    </w:p>
    <w:p w14:paraId="4CCAD71A" w14:textId="55B891C5" w:rsidR="00B06AB2" w:rsidRPr="00DC420E" w:rsidRDefault="00B06AB2" w:rsidP="00B06AB2">
      <w:pPr>
        <w:pStyle w:val="SingleTxt"/>
        <w:rPr>
          <w:lang w:val="fr-FR"/>
        </w:rPr>
      </w:pPr>
      <w:r w:rsidRPr="00DC420E">
        <w:rPr>
          <w:lang w:val="fr-FR"/>
        </w:rPr>
        <w:tab/>
        <w:t>b)</w:t>
      </w:r>
      <w:r w:rsidRPr="00DC420E">
        <w:rPr>
          <w:lang w:val="fr-FR"/>
        </w:rPr>
        <w:tab/>
        <w:t>Les fonctionnaires recrutés localement qui sont en déplacement dans un lieu d</w:t>
      </w:r>
      <w:r w:rsidR="00021FCB" w:rsidRPr="00DC420E">
        <w:rPr>
          <w:lang w:val="fr-FR"/>
        </w:rPr>
        <w:t>’</w:t>
      </w:r>
      <w:r w:rsidRPr="00DC420E">
        <w:rPr>
          <w:lang w:val="fr-FR"/>
        </w:rPr>
        <w:t>affectation ouvrant droit au congé de détente, à condition que ce lieu d</w:t>
      </w:r>
      <w:r w:rsidR="00021FCB" w:rsidRPr="00DC420E">
        <w:rPr>
          <w:lang w:val="fr-FR"/>
        </w:rPr>
        <w:t>’</w:t>
      </w:r>
      <w:r w:rsidRPr="00DC420E">
        <w:rPr>
          <w:lang w:val="fr-FR"/>
        </w:rPr>
        <w:t>affectation soit situé dans un pays différent de leur lieu d</w:t>
      </w:r>
      <w:r w:rsidR="00021FCB" w:rsidRPr="00DC420E">
        <w:rPr>
          <w:lang w:val="fr-FR"/>
        </w:rPr>
        <w:t>’</w:t>
      </w:r>
      <w:r w:rsidRPr="00DC420E">
        <w:rPr>
          <w:lang w:val="fr-FR"/>
        </w:rPr>
        <w:t>affectation d</w:t>
      </w:r>
      <w:r w:rsidR="00021FCB" w:rsidRPr="00DC420E">
        <w:rPr>
          <w:lang w:val="fr-FR"/>
        </w:rPr>
        <w:t>’</w:t>
      </w:r>
      <w:r w:rsidRPr="00DC420E">
        <w:rPr>
          <w:lang w:val="fr-FR"/>
        </w:rPr>
        <w:t>origine.</w:t>
      </w:r>
    </w:p>
    <w:p w14:paraId="1CAADE8F" w14:textId="027AF000" w:rsidR="00B06AB2" w:rsidRPr="00DC420E" w:rsidRDefault="00B06AB2" w:rsidP="007D7217">
      <w:pPr>
        <w:pStyle w:val="SingleTxt"/>
        <w:numPr>
          <w:ilvl w:val="0"/>
          <w:numId w:val="31"/>
        </w:numPr>
        <w:spacing w:line="240" w:lineRule="exact"/>
        <w:rPr>
          <w:lang w:val="fr-FR"/>
        </w:rPr>
      </w:pPr>
      <w:r w:rsidRPr="00DC420E">
        <w:rPr>
          <w:lang w:val="fr-FR"/>
        </w:rPr>
        <w:t>Le bénéfice du congé de détente ne s</w:t>
      </w:r>
      <w:r w:rsidR="00021FCB" w:rsidRPr="00DC420E">
        <w:rPr>
          <w:lang w:val="fr-FR"/>
        </w:rPr>
        <w:t>’</w:t>
      </w:r>
      <w:r w:rsidRPr="00DC420E">
        <w:rPr>
          <w:lang w:val="fr-FR"/>
        </w:rPr>
        <w:t>étend pas aux membres de la famille.</w:t>
      </w:r>
    </w:p>
    <w:p w14:paraId="6228CCD1" w14:textId="3D1535AC" w:rsidR="00B06AB2" w:rsidRPr="00DC420E" w:rsidRDefault="00B06AB2" w:rsidP="007D7217">
      <w:pPr>
        <w:pStyle w:val="SingleTxt"/>
        <w:spacing w:after="0" w:line="120" w:lineRule="exact"/>
        <w:rPr>
          <w:sz w:val="10"/>
          <w:lang w:val="fr-FR"/>
        </w:rPr>
      </w:pPr>
    </w:p>
    <w:p w14:paraId="2DF36BD0" w14:textId="49F9EBDA" w:rsidR="00C36155" w:rsidRPr="00DC420E" w:rsidRDefault="00B06AB2" w:rsidP="008A038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370" w:hanging="1267"/>
        <w:rPr>
          <w:lang w:val="fr-FR"/>
        </w:rPr>
      </w:pPr>
      <w:r w:rsidRPr="00DC420E">
        <w:rPr>
          <w:lang w:val="fr-FR"/>
        </w:rPr>
        <w:tab/>
      </w:r>
      <w:r w:rsidR="00021FCB" w:rsidRPr="00DC420E">
        <w:rPr>
          <w:lang w:val="fr-FR"/>
        </w:rPr>
        <w:tab/>
      </w:r>
      <w:r w:rsidRPr="00DC420E">
        <w:rPr>
          <w:lang w:val="fr-FR"/>
        </w:rPr>
        <w:t>Section 2</w:t>
      </w:r>
      <w:r w:rsidR="00021FCB" w:rsidRPr="00DC420E">
        <w:rPr>
          <w:lang w:val="fr-FR"/>
        </w:rPr>
        <w:t xml:space="preserve"> </w:t>
      </w:r>
      <w:r w:rsidR="00021FCB" w:rsidRPr="00DC420E">
        <w:rPr>
          <w:lang w:val="fr-FR"/>
        </w:rPr>
        <w:br/>
      </w:r>
      <w:r w:rsidRPr="00DC420E">
        <w:rPr>
          <w:lang w:val="fr-FR"/>
        </w:rPr>
        <w:t>Approbation de la désignation des lieux d</w:t>
      </w:r>
      <w:r w:rsidR="00021FCB" w:rsidRPr="00DC420E">
        <w:rPr>
          <w:lang w:val="fr-FR"/>
        </w:rPr>
        <w:t>’</w:t>
      </w:r>
      <w:r w:rsidRPr="00DC420E">
        <w:rPr>
          <w:lang w:val="fr-FR"/>
        </w:rPr>
        <w:t>affectation ouvrant droit au congé de détente</w:t>
      </w:r>
    </w:p>
    <w:p w14:paraId="0513D755" w14:textId="5EA2701A" w:rsidR="00B06AB2" w:rsidRPr="00DC420E" w:rsidRDefault="00B06AB2" w:rsidP="007D7217">
      <w:pPr>
        <w:pStyle w:val="SingleTxt"/>
        <w:spacing w:after="0" w:line="120" w:lineRule="exact"/>
        <w:rPr>
          <w:sz w:val="10"/>
          <w:lang w:val="fr-FR"/>
        </w:rPr>
      </w:pPr>
    </w:p>
    <w:p w14:paraId="6E7BD02B" w14:textId="5A9F6126" w:rsidR="00C36155" w:rsidRPr="00DC420E" w:rsidRDefault="00B06AB2" w:rsidP="00021FCB">
      <w:pPr>
        <w:pStyle w:val="SingleTxt"/>
        <w:numPr>
          <w:ilvl w:val="0"/>
          <w:numId w:val="32"/>
        </w:numPr>
        <w:rPr>
          <w:lang w:val="fr-FR"/>
        </w:rPr>
      </w:pPr>
      <w:r w:rsidRPr="00DC420E">
        <w:rPr>
          <w:lang w:val="fr-FR"/>
        </w:rPr>
        <w:t>Conformément au cadre d</w:t>
      </w:r>
      <w:r w:rsidR="00021FCB" w:rsidRPr="00DC420E">
        <w:rPr>
          <w:lang w:val="fr-FR"/>
        </w:rPr>
        <w:t>’</w:t>
      </w:r>
      <w:r w:rsidRPr="00DC420E">
        <w:rPr>
          <w:lang w:val="fr-FR"/>
        </w:rPr>
        <w:t>application du congé de détente figurant en annexe à la présente instruction administrative et à l</w:t>
      </w:r>
      <w:r w:rsidR="00021FCB" w:rsidRPr="00DC420E">
        <w:rPr>
          <w:lang w:val="fr-FR"/>
        </w:rPr>
        <w:t>’</w:t>
      </w:r>
      <w:r w:rsidRPr="00DC420E">
        <w:rPr>
          <w:lang w:val="fr-FR"/>
        </w:rPr>
        <w:t>issue de consultations interinstitutions, la Sous-Secrétaire générale à la gestion des ressources humaines approuve la liste des lieux d</w:t>
      </w:r>
      <w:r w:rsidR="00021FCB" w:rsidRPr="00DC420E">
        <w:rPr>
          <w:lang w:val="fr-FR"/>
        </w:rPr>
        <w:t>’</w:t>
      </w:r>
      <w:r w:rsidRPr="00DC420E">
        <w:rPr>
          <w:lang w:val="fr-FR"/>
        </w:rPr>
        <w:t>affectation donnant droit au congé de détente.</w:t>
      </w:r>
    </w:p>
    <w:p w14:paraId="4569722E" w14:textId="6AC07262" w:rsidR="00B06AB2" w:rsidRPr="00DC420E" w:rsidRDefault="00B06AB2" w:rsidP="007D7217">
      <w:pPr>
        <w:pStyle w:val="SingleTxt"/>
        <w:numPr>
          <w:ilvl w:val="0"/>
          <w:numId w:val="32"/>
        </w:numPr>
        <w:rPr>
          <w:lang w:val="fr-FR"/>
        </w:rPr>
      </w:pPr>
      <w:r w:rsidRPr="00DC420E">
        <w:rPr>
          <w:lang w:val="fr-FR"/>
        </w:rPr>
        <w:t>La liste des lieux d</w:t>
      </w:r>
      <w:r w:rsidR="00021FCB" w:rsidRPr="00DC420E">
        <w:rPr>
          <w:lang w:val="fr-FR"/>
        </w:rPr>
        <w:t>’</w:t>
      </w:r>
      <w:r w:rsidRPr="00DC420E">
        <w:rPr>
          <w:lang w:val="fr-FR"/>
        </w:rPr>
        <w:t>affectation ouvrant droit au congé de détente et la durée du cycle du congé de détente font l</w:t>
      </w:r>
      <w:r w:rsidR="00021FCB" w:rsidRPr="00DC420E">
        <w:rPr>
          <w:lang w:val="fr-FR"/>
        </w:rPr>
        <w:t>’</w:t>
      </w:r>
      <w:r w:rsidRPr="00DC420E">
        <w:rPr>
          <w:lang w:val="fr-FR"/>
        </w:rPr>
        <w:t>objet d</w:t>
      </w:r>
      <w:r w:rsidR="00021FCB" w:rsidRPr="00DC420E">
        <w:rPr>
          <w:lang w:val="fr-FR"/>
        </w:rPr>
        <w:t>’</w:t>
      </w:r>
      <w:r w:rsidRPr="00DC420E">
        <w:rPr>
          <w:lang w:val="fr-FR"/>
        </w:rPr>
        <w:t>examens périodiques. Si les conditions qui règnent dans un lieu d</w:t>
      </w:r>
      <w:r w:rsidR="00021FCB" w:rsidRPr="00DC420E">
        <w:rPr>
          <w:lang w:val="fr-FR"/>
        </w:rPr>
        <w:t>’</w:t>
      </w:r>
      <w:r w:rsidRPr="00DC420E">
        <w:rPr>
          <w:lang w:val="fr-FR"/>
        </w:rPr>
        <w:t>affectation changent</w:t>
      </w:r>
      <w:r w:rsidR="008178D1">
        <w:rPr>
          <w:lang w:val="fr-FR"/>
        </w:rPr>
        <w:t>,</w:t>
      </w:r>
      <w:r w:rsidRPr="00DC420E">
        <w:rPr>
          <w:lang w:val="fr-FR"/>
        </w:rPr>
        <w:t xml:space="preserve"> il peut être décidé d</w:t>
      </w:r>
      <w:r w:rsidR="00021FCB" w:rsidRPr="00DC420E">
        <w:rPr>
          <w:lang w:val="fr-FR"/>
        </w:rPr>
        <w:t>’</w:t>
      </w:r>
      <w:r w:rsidRPr="00DC420E">
        <w:rPr>
          <w:lang w:val="fr-FR"/>
        </w:rPr>
        <w:t>approuver l</w:t>
      </w:r>
      <w:r w:rsidR="00021FCB" w:rsidRPr="00DC420E">
        <w:rPr>
          <w:lang w:val="fr-FR"/>
        </w:rPr>
        <w:t>’</w:t>
      </w:r>
      <w:r w:rsidRPr="00DC420E">
        <w:rPr>
          <w:lang w:val="fr-FR"/>
        </w:rPr>
        <w:t>inscription de ce lieu sur la liste de ceux qui ouvrent droit au congé de détente ou le retrait de cette liste ou d</w:t>
      </w:r>
      <w:r w:rsidR="00021FCB" w:rsidRPr="00DC420E">
        <w:rPr>
          <w:lang w:val="fr-FR"/>
        </w:rPr>
        <w:t>’</w:t>
      </w:r>
      <w:r w:rsidRPr="00DC420E">
        <w:rPr>
          <w:lang w:val="fr-FR"/>
        </w:rPr>
        <w:t>en modifier la durée.</w:t>
      </w:r>
    </w:p>
    <w:p w14:paraId="794E1D02" w14:textId="3EC0AA39" w:rsidR="00B06AB2" w:rsidRPr="00DC420E" w:rsidRDefault="00B06AB2" w:rsidP="007D7217">
      <w:pPr>
        <w:pStyle w:val="SingleTxt"/>
        <w:numPr>
          <w:ilvl w:val="0"/>
          <w:numId w:val="32"/>
        </w:numPr>
        <w:rPr>
          <w:lang w:val="fr-FR"/>
        </w:rPr>
      </w:pPr>
      <w:r w:rsidRPr="00DC420E">
        <w:rPr>
          <w:lang w:val="fr-FR"/>
        </w:rPr>
        <w:t>La liste des lieux d</w:t>
      </w:r>
      <w:r w:rsidR="00021FCB" w:rsidRPr="00DC420E">
        <w:rPr>
          <w:lang w:val="fr-FR"/>
        </w:rPr>
        <w:t>’</w:t>
      </w:r>
      <w:r w:rsidRPr="00DC420E">
        <w:rPr>
          <w:lang w:val="fr-FR"/>
        </w:rPr>
        <w:t>affectation ouvrant droit au congé de détente, ainsi que la date effective de l</w:t>
      </w:r>
      <w:r w:rsidR="00021FCB" w:rsidRPr="00DC420E">
        <w:rPr>
          <w:lang w:val="fr-FR"/>
        </w:rPr>
        <w:t>’</w:t>
      </w:r>
      <w:r w:rsidRPr="00DC420E">
        <w:rPr>
          <w:lang w:val="fr-FR"/>
        </w:rPr>
        <w:t>inscription et, le cas échéant, des modifications apportées sont publiées par la Sous-Secrétaire générale à la gestion des ressources humaines par voie de circulaire</w:t>
      </w:r>
      <w:r w:rsidRPr="00DC420E">
        <w:rPr>
          <w:vertAlign w:val="superscript"/>
          <w:lang w:val="fr-FR"/>
        </w:rPr>
        <w:footnoteReference w:id="2"/>
      </w:r>
      <w:bookmarkStart w:id="4" w:name="_Hlk529279856"/>
      <w:bookmarkEnd w:id="4"/>
      <w:r w:rsidR="008178D1" w:rsidRPr="00DC420E">
        <w:rPr>
          <w:lang w:val="fr-FR"/>
        </w:rPr>
        <w:t>.</w:t>
      </w:r>
    </w:p>
    <w:p w14:paraId="460C2632" w14:textId="5B2234D6" w:rsidR="00021FCB" w:rsidRPr="00DC420E" w:rsidRDefault="00021FCB" w:rsidP="007D7217">
      <w:pPr>
        <w:pStyle w:val="SingleTxt"/>
        <w:spacing w:after="0" w:line="120" w:lineRule="exact"/>
        <w:rPr>
          <w:sz w:val="10"/>
          <w:lang w:val="fr-FR"/>
        </w:rPr>
      </w:pPr>
    </w:p>
    <w:p w14:paraId="44BBCED0" w14:textId="79F48EAB" w:rsidR="00B06AB2" w:rsidRPr="00DC420E" w:rsidRDefault="00021FCB"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val="0"/>
          <w:iCs/>
          <w:lang w:val="fr-FR"/>
        </w:rPr>
      </w:pPr>
      <w:r w:rsidRPr="00DC420E">
        <w:rPr>
          <w:lang w:val="fr-FR"/>
        </w:rPr>
        <w:tab/>
      </w:r>
      <w:r w:rsidRPr="00DC420E">
        <w:rPr>
          <w:lang w:val="fr-FR"/>
        </w:rPr>
        <w:tab/>
      </w:r>
      <w:r w:rsidR="00B06AB2" w:rsidRPr="00DC420E">
        <w:rPr>
          <w:lang w:val="fr-FR"/>
        </w:rPr>
        <w:t>Conséquences d</w:t>
      </w:r>
      <w:r w:rsidRPr="00DC420E">
        <w:rPr>
          <w:lang w:val="fr-FR"/>
        </w:rPr>
        <w:t>’</w:t>
      </w:r>
      <w:r w:rsidR="00B06AB2" w:rsidRPr="00DC420E">
        <w:rPr>
          <w:lang w:val="fr-FR"/>
        </w:rPr>
        <w:t>un changement de désignation</w:t>
      </w:r>
    </w:p>
    <w:p w14:paraId="64A79F67" w14:textId="0D9B2CEE" w:rsidR="00021FCB" w:rsidRPr="00DC420E" w:rsidRDefault="00021FCB" w:rsidP="007D7217">
      <w:pPr>
        <w:pStyle w:val="SingleTxt"/>
        <w:spacing w:after="0" w:line="120" w:lineRule="exact"/>
        <w:rPr>
          <w:sz w:val="10"/>
          <w:lang w:val="fr-FR"/>
        </w:rPr>
      </w:pPr>
    </w:p>
    <w:p w14:paraId="2A503E44" w14:textId="4043BE3E" w:rsidR="00C36155" w:rsidRPr="00DC420E" w:rsidRDefault="00B06AB2" w:rsidP="00021FCB">
      <w:pPr>
        <w:pStyle w:val="SingleTxt"/>
        <w:numPr>
          <w:ilvl w:val="0"/>
          <w:numId w:val="32"/>
        </w:numPr>
        <w:rPr>
          <w:lang w:val="fr-FR"/>
        </w:rPr>
      </w:pPr>
      <w:r w:rsidRPr="00DC420E">
        <w:rPr>
          <w:lang w:val="fr-FR"/>
        </w:rPr>
        <w:t>Les fonctionnaires qui sont déjà en fonctions dans un lieu d</w:t>
      </w:r>
      <w:r w:rsidR="00021FCB" w:rsidRPr="00DC420E">
        <w:rPr>
          <w:lang w:val="fr-FR"/>
        </w:rPr>
        <w:t>’</w:t>
      </w:r>
      <w:r w:rsidRPr="00DC420E">
        <w:rPr>
          <w:lang w:val="fr-FR"/>
        </w:rPr>
        <w:t>affectation dont l</w:t>
      </w:r>
      <w:r w:rsidR="00021FCB" w:rsidRPr="00DC420E">
        <w:rPr>
          <w:lang w:val="fr-FR"/>
        </w:rPr>
        <w:t>’</w:t>
      </w:r>
      <w:r w:rsidRPr="00DC420E">
        <w:rPr>
          <w:lang w:val="fr-FR"/>
        </w:rPr>
        <w:t>inscription sur la liste de ceux qui donnent droit au congé de détente a été nouvellement approuvée commencent à accumuler du temps de service ouvrant droit au congé à partir de la date d</w:t>
      </w:r>
      <w:r w:rsidR="00021FCB" w:rsidRPr="00DC420E">
        <w:rPr>
          <w:lang w:val="fr-FR"/>
        </w:rPr>
        <w:t>’</w:t>
      </w:r>
      <w:r w:rsidRPr="00DC420E">
        <w:rPr>
          <w:lang w:val="fr-FR"/>
        </w:rPr>
        <w:t>entrée en vigueur de cette inscription. Si la durée de la période de service ouvrant droit au congé est réduite, le nouveau cycle prend effet immédiatement et les fonctionnaires pourront en bénéficier sous réserve d</w:t>
      </w:r>
      <w:r w:rsidR="00021FCB" w:rsidRPr="00DC420E">
        <w:rPr>
          <w:lang w:val="fr-FR"/>
        </w:rPr>
        <w:t>’</w:t>
      </w:r>
      <w:r w:rsidRPr="00DC420E">
        <w:rPr>
          <w:lang w:val="fr-FR"/>
        </w:rPr>
        <w:t>avoir accompli une période de service ouvrant droit au congé. Si la périodicité du congé de détente est allongée, les fonctionnaires qui avaient commencé à accomplir une période de service avant l</w:t>
      </w:r>
      <w:r w:rsidR="00021FCB" w:rsidRPr="00DC420E">
        <w:rPr>
          <w:lang w:val="fr-FR"/>
        </w:rPr>
        <w:t>’</w:t>
      </w:r>
      <w:r w:rsidRPr="00DC420E">
        <w:rPr>
          <w:lang w:val="fr-FR"/>
        </w:rPr>
        <w:t>entrée en vigueur du nouveau cycle pourront bénéficier du congé de détente à l</w:t>
      </w:r>
      <w:r w:rsidR="00021FCB" w:rsidRPr="00DC420E">
        <w:rPr>
          <w:lang w:val="fr-FR"/>
        </w:rPr>
        <w:t>’</w:t>
      </w:r>
      <w:r w:rsidRPr="00DC420E">
        <w:rPr>
          <w:lang w:val="fr-FR"/>
        </w:rPr>
        <w:t>issue de la période qui donnait précédemment droit au congé en vigueur au lieu d</w:t>
      </w:r>
      <w:r w:rsidR="00021FCB" w:rsidRPr="00DC420E">
        <w:rPr>
          <w:lang w:val="fr-FR"/>
        </w:rPr>
        <w:t>’</w:t>
      </w:r>
      <w:r w:rsidRPr="00DC420E">
        <w:rPr>
          <w:lang w:val="fr-FR"/>
        </w:rPr>
        <w:t>affectation. La nouvelle périodicité s</w:t>
      </w:r>
      <w:r w:rsidR="00021FCB" w:rsidRPr="00DC420E">
        <w:rPr>
          <w:lang w:val="fr-FR"/>
        </w:rPr>
        <w:t>’</w:t>
      </w:r>
      <w:r w:rsidRPr="00DC420E">
        <w:rPr>
          <w:lang w:val="fr-FR"/>
        </w:rPr>
        <w:t>appliquera à compter de la date du retour du fonctionnaire au lieu d</w:t>
      </w:r>
      <w:r w:rsidR="00021FCB" w:rsidRPr="00DC420E">
        <w:rPr>
          <w:lang w:val="fr-FR"/>
        </w:rPr>
        <w:t>’</w:t>
      </w:r>
      <w:r w:rsidRPr="00DC420E">
        <w:rPr>
          <w:lang w:val="fr-FR"/>
        </w:rPr>
        <w:t>affectation.</w:t>
      </w:r>
    </w:p>
    <w:p w14:paraId="50B0EF21" w14:textId="0CFC0D17" w:rsidR="00B06AB2" w:rsidRPr="00DC420E" w:rsidRDefault="00B06AB2" w:rsidP="007D7217">
      <w:pPr>
        <w:pStyle w:val="SingleTxt"/>
        <w:numPr>
          <w:ilvl w:val="0"/>
          <w:numId w:val="32"/>
        </w:numPr>
        <w:rPr>
          <w:lang w:val="fr-FR"/>
        </w:rPr>
      </w:pPr>
      <w:r w:rsidRPr="00DC420E">
        <w:rPr>
          <w:lang w:val="fr-FR"/>
        </w:rPr>
        <w:t>Si le congé de détente est supprimé, les fonctionnaires remplissant les conditions requises qui ont à leur actif la période de service ouvrant droit au congé à la date effective du retrait pourront bénéficier du congé de détente à l</w:t>
      </w:r>
      <w:r w:rsidR="00021FCB" w:rsidRPr="00DC420E">
        <w:rPr>
          <w:lang w:val="fr-FR"/>
        </w:rPr>
        <w:t>’</w:t>
      </w:r>
      <w:r w:rsidRPr="00DC420E">
        <w:rPr>
          <w:lang w:val="fr-FR"/>
        </w:rPr>
        <w:t>issue de la période qui donnait précédemment droit au congé en vigueur au lieu d</w:t>
      </w:r>
      <w:r w:rsidR="00021FCB" w:rsidRPr="00DC420E">
        <w:rPr>
          <w:lang w:val="fr-FR"/>
        </w:rPr>
        <w:t>’</w:t>
      </w:r>
      <w:r w:rsidRPr="00DC420E">
        <w:rPr>
          <w:lang w:val="fr-FR"/>
        </w:rPr>
        <w:t>affectation. Le congé de détente cesse d</w:t>
      </w:r>
      <w:r w:rsidR="00021FCB" w:rsidRPr="00DC420E">
        <w:rPr>
          <w:lang w:val="fr-FR"/>
        </w:rPr>
        <w:t>’</w:t>
      </w:r>
      <w:r w:rsidRPr="00DC420E">
        <w:rPr>
          <w:lang w:val="fr-FR"/>
        </w:rPr>
        <w:t>être applicable à leur retour à leur lieu d</w:t>
      </w:r>
      <w:r w:rsidR="00021FCB" w:rsidRPr="00DC420E">
        <w:rPr>
          <w:lang w:val="fr-FR"/>
        </w:rPr>
        <w:t>’</w:t>
      </w:r>
      <w:r w:rsidRPr="00DC420E">
        <w:rPr>
          <w:lang w:val="fr-FR"/>
        </w:rPr>
        <w:t>affectation.</w:t>
      </w:r>
    </w:p>
    <w:p w14:paraId="36FE872F" w14:textId="5D94E7BF" w:rsidR="00021FCB" w:rsidRPr="00DC420E" w:rsidRDefault="00021FCB" w:rsidP="007D7217">
      <w:pPr>
        <w:pStyle w:val="SingleTxt"/>
        <w:tabs>
          <w:tab w:val="clear" w:pos="1742"/>
        </w:tabs>
        <w:spacing w:after="0" w:line="120" w:lineRule="exact"/>
        <w:rPr>
          <w:sz w:val="10"/>
          <w:lang w:val="fr-FR"/>
        </w:rPr>
      </w:pPr>
    </w:p>
    <w:p w14:paraId="2ED29623" w14:textId="53E49511" w:rsidR="00B06AB2" w:rsidRPr="00DC420E" w:rsidRDefault="00021FCB"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lastRenderedPageBreak/>
        <w:tab/>
      </w:r>
      <w:r w:rsidRPr="00DC420E">
        <w:rPr>
          <w:lang w:val="fr-FR"/>
        </w:rPr>
        <w:tab/>
      </w:r>
      <w:r w:rsidR="00B06AB2" w:rsidRPr="00DC420E">
        <w:rPr>
          <w:lang w:val="fr-FR"/>
        </w:rPr>
        <w:t>Lieu du congé de détente</w:t>
      </w:r>
    </w:p>
    <w:p w14:paraId="03379F85" w14:textId="07EF6BD7" w:rsidR="00021FCB" w:rsidRPr="00DC420E" w:rsidRDefault="00021FCB" w:rsidP="007D7217">
      <w:pPr>
        <w:pStyle w:val="SingleTxt"/>
        <w:spacing w:after="0" w:line="120" w:lineRule="exact"/>
        <w:rPr>
          <w:sz w:val="10"/>
          <w:lang w:val="fr-FR"/>
        </w:rPr>
      </w:pPr>
    </w:p>
    <w:p w14:paraId="5FD68BB0" w14:textId="28B14316" w:rsidR="00B06AB2" w:rsidRPr="00DC420E" w:rsidRDefault="00B06AB2" w:rsidP="007D7217">
      <w:pPr>
        <w:pStyle w:val="SingleTxt"/>
        <w:numPr>
          <w:ilvl w:val="0"/>
          <w:numId w:val="32"/>
        </w:numPr>
        <w:rPr>
          <w:lang w:val="fr-FR"/>
        </w:rPr>
      </w:pPr>
      <w:r w:rsidRPr="00DC420E">
        <w:rPr>
          <w:lang w:val="fr-FR"/>
        </w:rPr>
        <w:t>Il s</w:t>
      </w:r>
      <w:r w:rsidR="00021FCB" w:rsidRPr="00DC420E">
        <w:rPr>
          <w:lang w:val="fr-FR"/>
        </w:rPr>
        <w:t>’</w:t>
      </w:r>
      <w:r w:rsidRPr="00DC420E">
        <w:rPr>
          <w:lang w:val="fr-FR"/>
        </w:rPr>
        <w:t>agit du lieu désigné par le Bureau de la gestion des ressources humaines pour offrir aux fonctionnaires travaillant dans des conditions dangereuses, tendues et difficiles des conditions propices au repos. La Sous-Secrétaire générale à la gestion des ressources humaines, à l</w:t>
      </w:r>
      <w:r w:rsidR="00021FCB" w:rsidRPr="00DC420E">
        <w:rPr>
          <w:lang w:val="fr-FR"/>
        </w:rPr>
        <w:t>’</w:t>
      </w:r>
      <w:r w:rsidRPr="00DC420E">
        <w:rPr>
          <w:lang w:val="fr-FR"/>
        </w:rPr>
        <w:t>issue de consultations interinstitutions, annonce par voie de circulaire les lieux désignés pour le congé de détente.</w:t>
      </w:r>
    </w:p>
    <w:p w14:paraId="44B9CA03" w14:textId="30A87D7F" w:rsidR="00B06AB2" w:rsidRPr="00DC420E" w:rsidRDefault="00B06AB2" w:rsidP="007D7217">
      <w:pPr>
        <w:pStyle w:val="SingleTxt"/>
        <w:numPr>
          <w:ilvl w:val="0"/>
          <w:numId w:val="32"/>
        </w:numPr>
        <w:rPr>
          <w:lang w:val="fr-FR"/>
        </w:rPr>
      </w:pPr>
      <w:r w:rsidRPr="00DC420E">
        <w:rPr>
          <w:lang w:val="fr-FR"/>
        </w:rPr>
        <w:t>La désignation d</w:t>
      </w:r>
      <w:r w:rsidR="00021FCB" w:rsidRPr="00DC420E">
        <w:rPr>
          <w:lang w:val="fr-FR"/>
        </w:rPr>
        <w:t>’</w:t>
      </w:r>
      <w:r w:rsidRPr="00DC420E">
        <w:rPr>
          <w:lang w:val="fr-FR"/>
        </w:rPr>
        <w:t>une localité aux fins du congé de détente tient compte des moyens de transport dont dispose l</w:t>
      </w:r>
      <w:r w:rsidR="00021FCB" w:rsidRPr="00DC420E">
        <w:rPr>
          <w:lang w:val="fr-FR"/>
        </w:rPr>
        <w:t>’</w:t>
      </w:r>
      <w:r w:rsidRPr="00DC420E">
        <w:rPr>
          <w:lang w:val="fr-FR"/>
        </w:rPr>
        <w:t>Organisation des Nations Unies. Les fonctionnaires peuvent toutefois se rendre dans une localité autre que celle désignée pour le congé de détente conformément aux dispositions du paragraphe 4.5.</w:t>
      </w:r>
    </w:p>
    <w:p w14:paraId="30005AA1" w14:textId="18A190E8" w:rsidR="00021FCB" w:rsidRPr="00DC420E" w:rsidRDefault="00021FCB" w:rsidP="007D7217">
      <w:pPr>
        <w:pStyle w:val="SingleTxt"/>
        <w:tabs>
          <w:tab w:val="clear" w:pos="1742"/>
        </w:tabs>
        <w:spacing w:after="0" w:line="120" w:lineRule="exact"/>
        <w:rPr>
          <w:sz w:val="10"/>
          <w:lang w:val="fr-FR"/>
        </w:rPr>
      </w:pPr>
    </w:p>
    <w:p w14:paraId="3BCDAEF9" w14:textId="4AE33E03" w:rsidR="00B06AB2" w:rsidRPr="00DC420E" w:rsidRDefault="00021FCB" w:rsidP="007D7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00B06AB2" w:rsidRPr="00DC420E">
        <w:rPr>
          <w:lang w:val="fr-FR"/>
        </w:rPr>
        <w:tab/>
        <w:t>Section 3</w:t>
      </w:r>
      <w:r w:rsidRPr="00DC420E">
        <w:rPr>
          <w:lang w:val="fr-FR"/>
        </w:rPr>
        <w:t xml:space="preserve"> </w:t>
      </w:r>
      <w:r w:rsidRPr="00DC420E">
        <w:rPr>
          <w:lang w:val="fr-FR"/>
        </w:rPr>
        <w:br/>
      </w:r>
      <w:r w:rsidR="00B06AB2" w:rsidRPr="00DC420E">
        <w:rPr>
          <w:lang w:val="fr-FR"/>
        </w:rPr>
        <w:t>Conditions à remplir pour les congés de détente</w:t>
      </w:r>
    </w:p>
    <w:p w14:paraId="6F9A63EA" w14:textId="10F80272" w:rsidR="00021FCB" w:rsidRPr="00DC420E" w:rsidRDefault="00021FCB" w:rsidP="007D7217">
      <w:pPr>
        <w:pStyle w:val="SingleTxt"/>
        <w:spacing w:after="0" w:line="120" w:lineRule="exact"/>
        <w:rPr>
          <w:sz w:val="10"/>
          <w:lang w:val="fr-FR"/>
        </w:rPr>
      </w:pPr>
    </w:p>
    <w:p w14:paraId="5CBE5E1F" w14:textId="001895C8" w:rsidR="00B06AB2" w:rsidRPr="00DC420E" w:rsidRDefault="00021FCB"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00B06AB2" w:rsidRPr="00DC420E">
        <w:rPr>
          <w:lang w:val="fr-FR"/>
        </w:rPr>
        <w:tab/>
      </w:r>
      <w:bookmarkStart w:id="5" w:name="_Hlk529524295"/>
      <w:r w:rsidR="00B06AB2" w:rsidRPr="00DC420E">
        <w:rPr>
          <w:lang w:val="fr-FR"/>
        </w:rPr>
        <w:t>Conditions</w:t>
      </w:r>
    </w:p>
    <w:p w14:paraId="4A36C5F0" w14:textId="32546F71" w:rsidR="00021FCB" w:rsidRPr="00DC420E" w:rsidRDefault="00021FCB" w:rsidP="007D7217">
      <w:pPr>
        <w:pStyle w:val="SingleTxt"/>
        <w:spacing w:after="0" w:line="120" w:lineRule="exact"/>
        <w:rPr>
          <w:sz w:val="10"/>
          <w:lang w:val="fr-FR"/>
        </w:rPr>
      </w:pPr>
    </w:p>
    <w:p w14:paraId="0E2DB909" w14:textId="79B16191" w:rsidR="00B06AB2" w:rsidRPr="00F569D3" w:rsidRDefault="00B06AB2" w:rsidP="007D7217">
      <w:pPr>
        <w:pStyle w:val="SingleTxt"/>
        <w:numPr>
          <w:ilvl w:val="0"/>
          <w:numId w:val="37"/>
        </w:numPr>
        <w:spacing w:line="240" w:lineRule="exact"/>
        <w:rPr>
          <w:lang w:val="fr-FR"/>
        </w:rPr>
      </w:pPr>
      <w:r w:rsidRPr="00F569D3">
        <w:rPr>
          <w:lang w:val="fr-FR"/>
        </w:rPr>
        <w:t>Le fonctionnaire est autorisé à prendre du temps libre aux fins de repos et de détente dans le lieu désigné à cet effet à l</w:t>
      </w:r>
      <w:r w:rsidR="00021FCB" w:rsidRPr="00F569D3">
        <w:rPr>
          <w:lang w:val="fr-FR"/>
        </w:rPr>
        <w:t>’</w:t>
      </w:r>
      <w:r w:rsidRPr="00F569D3">
        <w:rPr>
          <w:lang w:val="fr-FR"/>
        </w:rPr>
        <w:t>issue de la période de service ouvrant droit au congé, et sous réserve des dispositions ci-après. Cette période est déterminée sur la base de la présence du fonctionnaire au lieu d</w:t>
      </w:r>
      <w:r w:rsidR="00021FCB" w:rsidRPr="00F569D3">
        <w:rPr>
          <w:lang w:val="fr-FR"/>
        </w:rPr>
        <w:t>’</w:t>
      </w:r>
      <w:r w:rsidRPr="00F569D3">
        <w:rPr>
          <w:lang w:val="fr-FR"/>
        </w:rPr>
        <w:t>affectation pendant le cycle de congé de détente autorisé pour ce lieu d</w:t>
      </w:r>
      <w:r w:rsidR="00021FCB" w:rsidRPr="00F569D3">
        <w:rPr>
          <w:lang w:val="fr-FR"/>
        </w:rPr>
        <w:t>’</w:t>
      </w:r>
      <w:r w:rsidRPr="00F569D3">
        <w:rPr>
          <w:lang w:val="fr-FR"/>
        </w:rPr>
        <w:t>affectation, sous réserve des dispositions ci-après.</w:t>
      </w:r>
    </w:p>
    <w:p w14:paraId="0B2045B8" w14:textId="2DEADE69" w:rsidR="00B06AB2" w:rsidRPr="00DC420E" w:rsidRDefault="00B06AB2" w:rsidP="007D7217">
      <w:pPr>
        <w:pStyle w:val="SingleTxt"/>
        <w:numPr>
          <w:ilvl w:val="0"/>
          <w:numId w:val="37"/>
        </w:numPr>
        <w:spacing w:line="240" w:lineRule="exact"/>
        <w:rPr>
          <w:lang w:val="fr-FR"/>
        </w:rPr>
      </w:pPr>
      <w:r w:rsidRPr="00DC420E">
        <w:rPr>
          <w:lang w:val="fr-FR"/>
        </w:rPr>
        <w:t>Le congé de détente n</w:t>
      </w:r>
      <w:r w:rsidR="00021FCB" w:rsidRPr="00DC420E">
        <w:rPr>
          <w:lang w:val="fr-FR"/>
        </w:rPr>
        <w:t>’</w:t>
      </w:r>
      <w:r w:rsidRPr="00DC420E">
        <w:rPr>
          <w:lang w:val="fr-FR"/>
        </w:rPr>
        <w:t>est pas accordé au cours des 30 derniers jours civils de service du fonctionnaire. Le fonctionnaire est tenu de rembourser la totalité des coûts du voyage le plus récent effectué au titre des congés de détente s</w:t>
      </w:r>
      <w:r w:rsidR="00021FCB" w:rsidRPr="00DC420E">
        <w:rPr>
          <w:lang w:val="fr-FR"/>
        </w:rPr>
        <w:t>’</w:t>
      </w:r>
      <w:r w:rsidRPr="00DC420E">
        <w:rPr>
          <w:lang w:val="fr-FR"/>
        </w:rPr>
        <w:t>il ne sert pas dans son lieu d</w:t>
      </w:r>
      <w:r w:rsidR="00021FCB" w:rsidRPr="00DC420E">
        <w:rPr>
          <w:lang w:val="fr-FR"/>
        </w:rPr>
        <w:t>’</w:t>
      </w:r>
      <w:r w:rsidRPr="00DC420E">
        <w:rPr>
          <w:lang w:val="fr-FR"/>
        </w:rPr>
        <w:t>affectation pendant au moins 30 jours civils à son retour d</w:t>
      </w:r>
      <w:r w:rsidR="00021FCB" w:rsidRPr="00DC420E">
        <w:rPr>
          <w:lang w:val="fr-FR"/>
        </w:rPr>
        <w:t>’</w:t>
      </w:r>
      <w:r w:rsidRPr="00DC420E">
        <w:rPr>
          <w:lang w:val="fr-FR"/>
        </w:rPr>
        <w:t>un congé de détente.</w:t>
      </w:r>
      <w:r w:rsidR="00021FCB" w:rsidRPr="00DC420E">
        <w:rPr>
          <w:lang w:val="fr-FR"/>
        </w:rPr>
        <w:t xml:space="preserve"> </w:t>
      </w:r>
      <w:r w:rsidRPr="00DC420E">
        <w:rPr>
          <w:lang w:val="fr-FR"/>
        </w:rPr>
        <w:t>Le fonctionnaire n</w:t>
      </w:r>
      <w:r w:rsidR="00021FCB" w:rsidRPr="00DC420E">
        <w:rPr>
          <w:lang w:val="fr-FR"/>
        </w:rPr>
        <w:t>’</w:t>
      </w:r>
      <w:r w:rsidRPr="00DC420E">
        <w:rPr>
          <w:lang w:val="fr-FR"/>
        </w:rPr>
        <w:t>est pas tenu de rembourser l</w:t>
      </w:r>
      <w:r w:rsidR="00021FCB" w:rsidRPr="00DC420E">
        <w:rPr>
          <w:lang w:val="fr-FR"/>
        </w:rPr>
        <w:t>’</w:t>
      </w:r>
      <w:r w:rsidRPr="00DC420E">
        <w:rPr>
          <w:lang w:val="fr-FR"/>
        </w:rPr>
        <w:t>Organisation si</w:t>
      </w:r>
      <w:r w:rsidR="007D7217" w:rsidRPr="00DC420E">
        <w:rPr>
          <w:lang w:val="fr-FR"/>
        </w:rPr>
        <w:t> :</w:t>
      </w:r>
    </w:p>
    <w:p w14:paraId="637192DD" w14:textId="2F48ED44" w:rsidR="00C36155" w:rsidRPr="00DC420E" w:rsidRDefault="00EF2FCA" w:rsidP="00B06AB2">
      <w:pPr>
        <w:pStyle w:val="SingleTxt"/>
        <w:rPr>
          <w:lang w:val="fr-FR"/>
        </w:rPr>
      </w:pPr>
      <w:r w:rsidRPr="00DC420E">
        <w:rPr>
          <w:lang w:val="fr-FR"/>
        </w:rPr>
        <w:tab/>
      </w:r>
      <w:r w:rsidR="00B06AB2" w:rsidRPr="00DC420E">
        <w:rPr>
          <w:lang w:val="fr-FR"/>
        </w:rPr>
        <w:t>a)</w:t>
      </w:r>
      <w:r w:rsidR="00B06AB2" w:rsidRPr="00DC420E">
        <w:rPr>
          <w:lang w:val="fr-FR"/>
        </w:rPr>
        <w:tab/>
        <w:t>Il est transféré dans un autre lieu d</w:t>
      </w:r>
      <w:r w:rsidR="00021FCB" w:rsidRPr="00DC420E">
        <w:rPr>
          <w:lang w:val="fr-FR"/>
        </w:rPr>
        <w:t>’</w:t>
      </w:r>
      <w:r w:rsidR="00B06AB2" w:rsidRPr="00DC420E">
        <w:rPr>
          <w:lang w:val="fr-FR"/>
        </w:rPr>
        <w:t>affectation approuvé pour le congé de détente</w:t>
      </w:r>
      <w:r w:rsidR="007D7217" w:rsidRPr="00DC420E">
        <w:rPr>
          <w:lang w:val="fr-FR"/>
        </w:rPr>
        <w:t> ;</w:t>
      </w:r>
    </w:p>
    <w:p w14:paraId="7FC71B0A" w14:textId="66740208" w:rsidR="00B06AB2" w:rsidRPr="00DC420E" w:rsidRDefault="00EF2FCA" w:rsidP="00B06AB2">
      <w:pPr>
        <w:pStyle w:val="SingleTxt"/>
        <w:rPr>
          <w:lang w:val="fr-FR"/>
        </w:rPr>
      </w:pPr>
      <w:r w:rsidRPr="00DC420E">
        <w:rPr>
          <w:lang w:val="fr-FR"/>
        </w:rPr>
        <w:tab/>
      </w:r>
      <w:r w:rsidR="00B06AB2" w:rsidRPr="00DC420E">
        <w:rPr>
          <w:lang w:val="fr-FR"/>
        </w:rPr>
        <w:t>b)</w:t>
      </w:r>
      <w:r w:rsidR="00B06AB2" w:rsidRPr="00DC420E">
        <w:rPr>
          <w:lang w:val="fr-FR"/>
        </w:rPr>
        <w:tab/>
        <w:t>Le non-respect de l</w:t>
      </w:r>
      <w:r w:rsidR="00021FCB" w:rsidRPr="00DC420E">
        <w:rPr>
          <w:lang w:val="fr-FR"/>
        </w:rPr>
        <w:t>’</w:t>
      </w:r>
      <w:r w:rsidR="00B06AB2" w:rsidRPr="00DC420E">
        <w:rPr>
          <w:lang w:val="fr-FR"/>
        </w:rPr>
        <w:t>obligation de 30 jours fait suite à une demande de l</w:t>
      </w:r>
      <w:r w:rsidR="00021FCB" w:rsidRPr="00DC420E">
        <w:rPr>
          <w:lang w:val="fr-FR"/>
        </w:rPr>
        <w:t>’</w:t>
      </w:r>
      <w:r w:rsidR="00B06AB2" w:rsidRPr="00DC420E">
        <w:rPr>
          <w:lang w:val="fr-FR"/>
        </w:rPr>
        <w:t>Organisation, telle que déterminée par le chef de l</w:t>
      </w:r>
      <w:r w:rsidR="00021FCB" w:rsidRPr="00DC420E">
        <w:rPr>
          <w:lang w:val="fr-FR"/>
        </w:rPr>
        <w:t>’</w:t>
      </w:r>
      <w:r w:rsidR="00B06AB2" w:rsidRPr="00DC420E">
        <w:rPr>
          <w:lang w:val="fr-FR"/>
        </w:rPr>
        <w:t>administration ou le responsable de l</w:t>
      </w:r>
      <w:r w:rsidR="00021FCB" w:rsidRPr="00DC420E">
        <w:rPr>
          <w:lang w:val="fr-FR"/>
        </w:rPr>
        <w:t>’</w:t>
      </w:r>
      <w:r w:rsidR="00B06AB2" w:rsidRPr="00DC420E">
        <w:rPr>
          <w:lang w:val="fr-FR"/>
        </w:rPr>
        <w:t>appui à la mission.</w:t>
      </w:r>
    </w:p>
    <w:bookmarkEnd w:id="5"/>
    <w:p w14:paraId="1465573B" w14:textId="0B7EDE20" w:rsidR="00B06AB2" w:rsidRPr="00DC420E" w:rsidRDefault="00B06AB2" w:rsidP="007D7217">
      <w:pPr>
        <w:pStyle w:val="SingleTxt"/>
        <w:spacing w:after="0" w:line="120" w:lineRule="exact"/>
        <w:rPr>
          <w:sz w:val="10"/>
          <w:lang w:val="fr-FR"/>
        </w:rPr>
      </w:pPr>
    </w:p>
    <w:p w14:paraId="481EE6F9" w14:textId="1D1C36B6" w:rsidR="003077A9" w:rsidRPr="00DC420E" w:rsidRDefault="00EF2FCA"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00B06AB2" w:rsidRPr="00DC420E">
        <w:rPr>
          <w:lang w:val="fr-FR"/>
        </w:rPr>
        <w:tab/>
        <w:t>Période de service ouvrant droit au congé de détente</w:t>
      </w:r>
      <w:bookmarkStart w:id="6" w:name="_Hlk520193807"/>
    </w:p>
    <w:p w14:paraId="02E6455E" w14:textId="5CA28CE2" w:rsidR="003077A9" w:rsidRPr="00DC420E" w:rsidRDefault="003077A9" w:rsidP="007D7217">
      <w:pPr>
        <w:pStyle w:val="SingleTxt"/>
        <w:spacing w:after="0" w:line="120" w:lineRule="exact"/>
        <w:rPr>
          <w:sz w:val="10"/>
          <w:lang w:val="fr-FR"/>
        </w:rPr>
      </w:pPr>
    </w:p>
    <w:p w14:paraId="05D6237F" w14:textId="77777777" w:rsidR="00EB5C2C" w:rsidRPr="00DC420E" w:rsidRDefault="00EB5C2C" w:rsidP="007D7217">
      <w:pPr>
        <w:pStyle w:val="SingleTxt"/>
        <w:numPr>
          <w:ilvl w:val="0"/>
          <w:numId w:val="47"/>
        </w:numPr>
        <w:spacing w:line="240" w:lineRule="exact"/>
        <w:rPr>
          <w:lang w:val="fr-FR"/>
        </w:rPr>
      </w:pPr>
      <w:r w:rsidRPr="00DC420E">
        <w:rPr>
          <w:lang w:val="fr-FR"/>
        </w:rPr>
        <w:t>Pour ouvrir droit à un congé de détente, la période de service dans un lieu d’affectation classé parmi ceux qui donnent droit à ce type de congé ne doit pas être interrompue.</w:t>
      </w:r>
    </w:p>
    <w:p w14:paraId="031C813A" w14:textId="77777777" w:rsidR="00EB5C2C" w:rsidRPr="00DC420E" w:rsidRDefault="00EB5C2C" w:rsidP="007D7217">
      <w:pPr>
        <w:pStyle w:val="SingleTxt"/>
        <w:numPr>
          <w:ilvl w:val="0"/>
          <w:numId w:val="47"/>
        </w:numPr>
        <w:spacing w:line="240" w:lineRule="exact"/>
        <w:rPr>
          <w:lang w:val="fr-FR"/>
        </w:rPr>
      </w:pPr>
      <w:r w:rsidRPr="00DC420E">
        <w:rPr>
          <w:lang w:val="fr-FR"/>
        </w:rPr>
        <w:t>La période de service ouvrant droit au congé de détente commence à la date de l’arrivée du fonctionnaire dans le lieu d’affectation, ou à la date du retour dans ce lieu d’affectation après une absence en congé de détente.</w:t>
      </w:r>
    </w:p>
    <w:p w14:paraId="7796497C" w14:textId="0FA107EC" w:rsidR="00EB5C2C" w:rsidRPr="00DC420E" w:rsidRDefault="00EB5C2C" w:rsidP="007D7217">
      <w:pPr>
        <w:pStyle w:val="SingleTxt"/>
        <w:numPr>
          <w:ilvl w:val="0"/>
          <w:numId w:val="47"/>
        </w:numPr>
        <w:spacing w:line="240" w:lineRule="exact"/>
        <w:rPr>
          <w:lang w:val="fr-FR"/>
        </w:rPr>
      </w:pPr>
      <w:r w:rsidRPr="00DC420E">
        <w:rPr>
          <w:lang w:val="fr-FR"/>
        </w:rPr>
        <w:t>La période de service ouvrant droit au congé de détente n’est pas considérée comme interrompue ou suspendue dans les situations suivantes</w:t>
      </w:r>
      <w:r w:rsidR="007D7217" w:rsidRPr="00DC420E">
        <w:rPr>
          <w:lang w:val="fr-FR"/>
        </w:rPr>
        <w:t> :</w:t>
      </w:r>
    </w:p>
    <w:p w14:paraId="5B8E1BD3" w14:textId="5495EFF4" w:rsidR="00EB5C2C" w:rsidRPr="00DC420E" w:rsidRDefault="00EB5C2C" w:rsidP="00EB5C2C">
      <w:pPr>
        <w:pStyle w:val="SingleTxt"/>
        <w:rPr>
          <w:lang w:val="fr-FR"/>
        </w:rPr>
      </w:pPr>
      <w:r w:rsidRPr="00DC420E">
        <w:rPr>
          <w:lang w:val="fr-FR"/>
        </w:rPr>
        <w:tab/>
        <w:t>a)</w:t>
      </w:r>
      <w:r w:rsidRPr="00DC420E">
        <w:rPr>
          <w:lang w:val="fr-FR"/>
        </w:rPr>
        <w:tab/>
        <w:t>Le voyage en mission en dehors du lieu d’affectation, y compris à des fins de formation, s’effectue dans un lieu d’affectation désigné comme ouvrant droit au congé de détente</w:t>
      </w:r>
      <w:r w:rsidR="001C2E3A">
        <w:rPr>
          <w:lang w:val="fr-FR"/>
        </w:rPr>
        <w:t> ;</w:t>
      </w:r>
    </w:p>
    <w:p w14:paraId="75CE4F48" w14:textId="5CB301B9" w:rsidR="00EB5C2C" w:rsidRPr="00DC420E" w:rsidRDefault="00EB5C2C" w:rsidP="00EB5C2C">
      <w:pPr>
        <w:pStyle w:val="SingleTxt"/>
        <w:rPr>
          <w:lang w:val="fr-FR"/>
        </w:rPr>
      </w:pPr>
      <w:r w:rsidRPr="00DC420E">
        <w:rPr>
          <w:lang w:val="fr-FR"/>
        </w:rPr>
        <w:tab/>
        <w:t>b)</w:t>
      </w:r>
      <w:r w:rsidRPr="00DC420E">
        <w:rPr>
          <w:lang w:val="fr-FR"/>
        </w:rPr>
        <w:tab/>
        <w:t>Lorsqu’une personne pouvant prétendre au congé de détente est mutée ou réaffectée, sans prendre de congé, d’un lieu d’affectation ouvrant droit au congé de détente à un autre lieu d’affectation donnant le même droit. Dans un tel cas, le temps de service accumulé dans le premier lieu d’affectation peut être transféré aux fins du décompte du nombre total de jours de service ouvrant droit au congé dans le nouveau lieu d’affectation.</w:t>
      </w:r>
    </w:p>
    <w:p w14:paraId="06C47100" w14:textId="77777777" w:rsidR="00EB5C2C" w:rsidRPr="00F569D3" w:rsidRDefault="00EB5C2C" w:rsidP="007D7217">
      <w:pPr>
        <w:pStyle w:val="SingleTxt"/>
        <w:numPr>
          <w:ilvl w:val="0"/>
          <w:numId w:val="47"/>
        </w:numPr>
        <w:spacing w:line="240" w:lineRule="exact"/>
        <w:rPr>
          <w:spacing w:val="6"/>
          <w:lang w:val="fr-FR"/>
        </w:rPr>
      </w:pPr>
      <w:r w:rsidRPr="00F569D3">
        <w:rPr>
          <w:spacing w:val="6"/>
          <w:lang w:val="fr-FR"/>
        </w:rPr>
        <w:lastRenderedPageBreak/>
        <w:t>La période de service ouvrant droit au congé de détente est considérée comme suspendue lorsqu’une personne pouvant prétendre à ce congé effectue un voyage en mission pour se rendre dans un lieu d’affectation qui n’est pas approuvé aux fins du congé de détente. Dans ce cas, le décompte de la période de service ouvrant droit au congé de détente reprend le jour du retour dans le lieu d’affectation approuvé à cette fin.</w:t>
      </w:r>
    </w:p>
    <w:p w14:paraId="392FB995" w14:textId="77777777" w:rsidR="00EB5C2C" w:rsidRPr="00DC420E" w:rsidRDefault="00EB5C2C" w:rsidP="007D7217">
      <w:pPr>
        <w:pStyle w:val="SingleTxt"/>
        <w:numPr>
          <w:ilvl w:val="0"/>
          <w:numId w:val="47"/>
        </w:numPr>
        <w:spacing w:line="240" w:lineRule="exact"/>
        <w:rPr>
          <w:lang w:val="fr-FR"/>
        </w:rPr>
      </w:pPr>
      <w:r w:rsidRPr="00DC420E">
        <w:rPr>
          <w:lang w:val="fr-FR"/>
        </w:rPr>
        <w:t>La période de service est interrompue lorsque le fonctionnaire est absent du lieu d’affectation ouvrant droit au congé de détente pendant plus de trois jours ouvrables consécutifs ou accumulés de congés autorisés de tous types, pris séparément ou conjointement avec un voyage en mission. Lorsque la période de service a été interrompue, le temps de service ouvrant droit au congé accumulé avant l’interruption est annulé. Le décompte de la période de service ouvrant droit au congé de détente reprend le jour du retour dans le lieu d’affectation approuvé à cette fin.</w:t>
      </w:r>
    </w:p>
    <w:p w14:paraId="76EF65E3" w14:textId="5A55FA3C" w:rsidR="00EB5C2C" w:rsidRPr="00DC420E" w:rsidRDefault="00EB5C2C" w:rsidP="007D7217">
      <w:pPr>
        <w:pStyle w:val="SingleTxt"/>
        <w:spacing w:after="0" w:line="120" w:lineRule="exact"/>
        <w:rPr>
          <w:sz w:val="10"/>
          <w:lang w:val="fr-FR"/>
        </w:rPr>
      </w:pPr>
    </w:p>
    <w:p w14:paraId="5924B0B8" w14:textId="1FE3236E" w:rsidR="00EB5C2C" w:rsidRPr="00DC420E" w:rsidRDefault="00EB5C2C"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Pr="00DC420E">
        <w:rPr>
          <w:lang w:val="fr-FR"/>
        </w:rPr>
        <w:tab/>
        <w:t>Durée de l’absence en dehors du lieu d’affectation ouvrant droit au congé de détente et effets conjugués avec d’autres types d’absence autorisée</w:t>
      </w:r>
    </w:p>
    <w:p w14:paraId="6F9C7B67" w14:textId="67D2E769" w:rsidR="00EB5C2C" w:rsidRPr="00DC420E" w:rsidRDefault="00EB5C2C" w:rsidP="007D7217">
      <w:pPr>
        <w:pStyle w:val="SingleTxt"/>
        <w:spacing w:after="0" w:line="120" w:lineRule="exact"/>
        <w:rPr>
          <w:sz w:val="10"/>
          <w:lang w:val="fr-FR"/>
        </w:rPr>
      </w:pPr>
    </w:p>
    <w:p w14:paraId="61370239" w14:textId="77777777" w:rsidR="00EB5C2C" w:rsidRPr="00DC420E" w:rsidRDefault="00EB5C2C" w:rsidP="007D7217">
      <w:pPr>
        <w:pStyle w:val="SingleTxt"/>
        <w:numPr>
          <w:ilvl w:val="0"/>
          <w:numId w:val="47"/>
        </w:numPr>
        <w:spacing w:line="240" w:lineRule="exact"/>
        <w:rPr>
          <w:lang w:val="fr-FR"/>
        </w:rPr>
      </w:pPr>
      <w:r w:rsidRPr="00DC420E">
        <w:rPr>
          <w:lang w:val="fr-FR"/>
        </w:rPr>
        <w:t>Le congé de détente est accordé pour cinq jours ouvrables consécutifs, non déductibles des congés annuels, Il comprend les jours non ouvrables, c’est-à-dire les week-ends et les jours fériés officiels, qui pourraient être inclus dans la période de cinq jours. En outre, un délai de route est accordé à l’aller et au retour le jour où le voyage a lieu.</w:t>
      </w:r>
    </w:p>
    <w:bookmarkEnd w:id="6"/>
    <w:p w14:paraId="3E7EEA29" w14:textId="77777777" w:rsidR="006F08B2" w:rsidRPr="009708F2" w:rsidRDefault="006F08B2" w:rsidP="006F08B2">
      <w:pPr>
        <w:pStyle w:val="SingleTxt"/>
        <w:numPr>
          <w:ilvl w:val="0"/>
          <w:numId w:val="43"/>
        </w:numPr>
        <w:tabs>
          <w:tab w:val="left" w:pos="1742"/>
        </w:tabs>
        <w:rPr>
          <w:lang w:val="fr-FR"/>
        </w:rPr>
      </w:pPr>
      <w:r w:rsidRPr="009708F2">
        <w:rPr>
          <w:lang w:val="fr-FR"/>
        </w:rPr>
        <w:t>Sous réserve des nécessités du service, le congé de détente peut être pris concurremment avec un week-end, un jour férié, un congé annuel, un congé de maladie certifié, un congé de maladie non certifié autorisé pour raison familiale grave et un voyage en mission. Lorsque le congé de détente est combiné avec un congé annuel ou un congé de maladie non certifié pour raison familiale grave, la période du congé annuel ou du congé de maladie non certifié commence avant ou après la fin de la période du congé de détente. Lorsque le congé de détente est combiné avec un congé annuel et que le fonctionnaire tombe malade pendant son congé annuel, c’est la disposition 6.2 e) du Règlement du personnel qui s’applique.</w:t>
      </w:r>
    </w:p>
    <w:p w14:paraId="4CD50AFA" w14:textId="4A976968" w:rsidR="00B06AB2" w:rsidRPr="00F569D3" w:rsidRDefault="00B06AB2" w:rsidP="007D7217">
      <w:pPr>
        <w:pStyle w:val="SingleTxt"/>
        <w:numPr>
          <w:ilvl w:val="0"/>
          <w:numId w:val="43"/>
        </w:numPr>
        <w:spacing w:line="240" w:lineRule="exact"/>
        <w:rPr>
          <w:spacing w:val="5"/>
          <w:lang w:val="fr-FR"/>
        </w:rPr>
      </w:pPr>
      <w:r w:rsidRPr="00F569D3">
        <w:rPr>
          <w:spacing w:val="5"/>
          <w:lang w:val="fr-FR"/>
        </w:rPr>
        <w:t>Lorsqu</w:t>
      </w:r>
      <w:r w:rsidR="00021FCB" w:rsidRPr="00F569D3">
        <w:rPr>
          <w:spacing w:val="5"/>
          <w:lang w:val="fr-FR"/>
        </w:rPr>
        <w:t>’</w:t>
      </w:r>
      <w:r w:rsidRPr="00F569D3">
        <w:rPr>
          <w:spacing w:val="5"/>
          <w:lang w:val="fr-FR"/>
        </w:rPr>
        <w:t>un fonctionnaire remplissant les conditions requises est autorisé pour des raisons de convenance personnelle à combiner un congé de détente avec un voyage en mission ou toute autre absence autorisée, les coûts venant s</w:t>
      </w:r>
      <w:r w:rsidR="00021FCB" w:rsidRPr="00F569D3">
        <w:rPr>
          <w:spacing w:val="5"/>
          <w:lang w:val="fr-FR"/>
        </w:rPr>
        <w:t>’</w:t>
      </w:r>
      <w:r w:rsidRPr="00F569D3">
        <w:rPr>
          <w:spacing w:val="5"/>
          <w:lang w:val="fr-FR"/>
        </w:rPr>
        <w:t>ajouter au montant autorisé pour le voyage en mission ou l</w:t>
      </w:r>
      <w:r w:rsidR="00021FCB" w:rsidRPr="00F569D3">
        <w:rPr>
          <w:spacing w:val="5"/>
          <w:lang w:val="fr-FR"/>
        </w:rPr>
        <w:t>’</w:t>
      </w:r>
      <w:r w:rsidRPr="00F569D3">
        <w:rPr>
          <w:spacing w:val="5"/>
          <w:lang w:val="fr-FR"/>
        </w:rPr>
        <w:t>absence sont à la charge de l</w:t>
      </w:r>
      <w:r w:rsidR="00021FCB" w:rsidRPr="00F569D3">
        <w:rPr>
          <w:spacing w:val="5"/>
          <w:lang w:val="fr-FR"/>
        </w:rPr>
        <w:t>’</w:t>
      </w:r>
      <w:r w:rsidRPr="00F569D3">
        <w:rPr>
          <w:spacing w:val="5"/>
          <w:lang w:val="fr-FR"/>
        </w:rPr>
        <w:t>intéressé. L</w:t>
      </w:r>
      <w:r w:rsidR="00021FCB" w:rsidRPr="00F569D3">
        <w:rPr>
          <w:spacing w:val="5"/>
          <w:lang w:val="fr-FR"/>
        </w:rPr>
        <w:t>’</w:t>
      </w:r>
      <w:r w:rsidRPr="00F569D3">
        <w:rPr>
          <w:spacing w:val="5"/>
          <w:lang w:val="fr-FR"/>
        </w:rPr>
        <w:t>Organisation ne prend pas à sa charge les frais supplémentaires qui pourraient découler de cet arrangement, notamment les frais liés à un retard éventuel, à un changement de billet, à une annulation du vol ou à une augmentation du prix des billets.</w:t>
      </w:r>
    </w:p>
    <w:p w14:paraId="24130A30" w14:textId="477458FE" w:rsidR="00B06AB2" w:rsidRPr="00DC420E" w:rsidRDefault="00482AFC" w:rsidP="007D7217">
      <w:pPr>
        <w:pStyle w:val="SingleTxt"/>
        <w:numPr>
          <w:ilvl w:val="0"/>
          <w:numId w:val="43"/>
        </w:numPr>
        <w:spacing w:line="240" w:lineRule="exact"/>
        <w:rPr>
          <w:lang w:val="fr-FR"/>
        </w:rPr>
      </w:pPr>
      <w:r>
        <w:rPr>
          <w:lang w:val="fr-FR"/>
        </w:rPr>
        <w:t>L</w:t>
      </w:r>
      <w:r w:rsidRPr="00DC420E">
        <w:rPr>
          <w:lang w:val="fr-FR"/>
        </w:rPr>
        <w:t xml:space="preserve">e </w:t>
      </w:r>
      <w:r w:rsidR="00B06AB2" w:rsidRPr="00DC420E">
        <w:rPr>
          <w:lang w:val="fr-FR"/>
        </w:rPr>
        <w:t>congé de détente ne peut pas être pris concurremment avec</w:t>
      </w:r>
      <w:r w:rsidR="007D7217" w:rsidRPr="00DC420E">
        <w:rPr>
          <w:lang w:val="fr-FR"/>
        </w:rPr>
        <w:t> :</w:t>
      </w:r>
    </w:p>
    <w:p w14:paraId="4150BA3C" w14:textId="456DD443" w:rsidR="00B06AB2" w:rsidRPr="00DC420E" w:rsidRDefault="00EB5C2C" w:rsidP="00B06AB2">
      <w:pPr>
        <w:pStyle w:val="SingleTxt"/>
        <w:rPr>
          <w:lang w:val="fr-FR"/>
        </w:rPr>
      </w:pPr>
      <w:r w:rsidRPr="00DC420E">
        <w:rPr>
          <w:lang w:val="fr-FR"/>
        </w:rPr>
        <w:tab/>
      </w:r>
      <w:r w:rsidR="00B06AB2" w:rsidRPr="00DC420E">
        <w:rPr>
          <w:lang w:val="fr-FR"/>
        </w:rPr>
        <w:t xml:space="preserve">a) </w:t>
      </w:r>
      <w:r w:rsidR="00B06AB2" w:rsidRPr="00DC420E">
        <w:rPr>
          <w:lang w:val="fr-FR"/>
        </w:rPr>
        <w:tab/>
        <w:t>Un voyage au titre d</w:t>
      </w:r>
      <w:r w:rsidR="00021FCB" w:rsidRPr="00DC420E">
        <w:rPr>
          <w:lang w:val="fr-FR"/>
        </w:rPr>
        <w:t>’</w:t>
      </w:r>
      <w:r w:rsidR="00B06AB2" w:rsidRPr="00DC420E">
        <w:rPr>
          <w:lang w:val="fr-FR"/>
        </w:rPr>
        <w:t>un congé dans les foyers, d</w:t>
      </w:r>
      <w:r w:rsidR="00021FCB" w:rsidRPr="00DC420E">
        <w:rPr>
          <w:lang w:val="fr-FR"/>
        </w:rPr>
        <w:t>’</w:t>
      </w:r>
      <w:r w:rsidR="00B06AB2" w:rsidRPr="00DC420E">
        <w:rPr>
          <w:lang w:val="fr-FR"/>
        </w:rPr>
        <w:t>une visite familiale ou au titre des études des enfants</w:t>
      </w:r>
      <w:r w:rsidR="007D7217" w:rsidRPr="00DC420E">
        <w:rPr>
          <w:lang w:val="fr-FR"/>
        </w:rPr>
        <w:t> ;</w:t>
      </w:r>
    </w:p>
    <w:p w14:paraId="51056092" w14:textId="2174DD3E" w:rsidR="00B06AB2" w:rsidRPr="00DC420E" w:rsidRDefault="00EB5C2C" w:rsidP="00B06AB2">
      <w:pPr>
        <w:pStyle w:val="SingleTxt"/>
        <w:rPr>
          <w:lang w:val="fr-FR"/>
        </w:rPr>
      </w:pPr>
      <w:r w:rsidRPr="00DC420E">
        <w:rPr>
          <w:lang w:val="fr-FR"/>
        </w:rPr>
        <w:tab/>
      </w:r>
      <w:r w:rsidR="00B06AB2" w:rsidRPr="00DC420E">
        <w:rPr>
          <w:lang w:val="fr-FR"/>
        </w:rPr>
        <w:t>b)</w:t>
      </w:r>
      <w:r w:rsidR="00B06AB2" w:rsidRPr="00DC420E">
        <w:rPr>
          <w:lang w:val="fr-FR"/>
        </w:rPr>
        <w:tab/>
        <w:t>Un congé de maternité, un congé de paternité, un congé de maladie non certifié, sauf en cas de raison familiale grave, ou un congé spécial</w:t>
      </w:r>
      <w:bookmarkStart w:id="7" w:name="_Hlk521494530"/>
      <w:bookmarkEnd w:id="7"/>
      <w:r w:rsidR="007D7217" w:rsidRPr="00DC420E">
        <w:rPr>
          <w:lang w:val="fr-FR"/>
        </w:rPr>
        <w:t> ;</w:t>
      </w:r>
    </w:p>
    <w:p w14:paraId="1798C43D" w14:textId="4083364C" w:rsidR="00C36155" w:rsidRPr="00DC420E" w:rsidRDefault="00EB5C2C" w:rsidP="00B06AB2">
      <w:pPr>
        <w:pStyle w:val="SingleTxt"/>
        <w:rPr>
          <w:lang w:val="fr-FR"/>
        </w:rPr>
      </w:pPr>
      <w:r w:rsidRPr="00DC420E">
        <w:rPr>
          <w:lang w:val="fr-FR"/>
        </w:rPr>
        <w:tab/>
      </w:r>
      <w:r w:rsidR="00B06AB2" w:rsidRPr="00DC420E">
        <w:rPr>
          <w:lang w:val="fr-FR"/>
        </w:rPr>
        <w:t>c)</w:t>
      </w:r>
      <w:r w:rsidR="00B06AB2" w:rsidRPr="00DC420E">
        <w:rPr>
          <w:lang w:val="fr-FR"/>
        </w:rPr>
        <w:tab/>
        <w:t>Le voyage lors du départ du lieu d</w:t>
      </w:r>
      <w:r w:rsidR="00021FCB" w:rsidRPr="00DC420E">
        <w:rPr>
          <w:lang w:val="fr-FR"/>
        </w:rPr>
        <w:t>’</w:t>
      </w:r>
      <w:r w:rsidR="00B06AB2" w:rsidRPr="00DC420E">
        <w:rPr>
          <w:lang w:val="fr-FR"/>
        </w:rPr>
        <w:t>affectation ouvrant droit au congé de détente à la fin de la période d</w:t>
      </w:r>
      <w:r w:rsidR="00021FCB" w:rsidRPr="00DC420E">
        <w:rPr>
          <w:lang w:val="fr-FR"/>
        </w:rPr>
        <w:t>’</w:t>
      </w:r>
      <w:r w:rsidR="00B06AB2" w:rsidRPr="00DC420E">
        <w:rPr>
          <w:lang w:val="fr-FR"/>
        </w:rPr>
        <w:t>engagement ou d</w:t>
      </w:r>
      <w:r w:rsidR="00021FCB" w:rsidRPr="00DC420E">
        <w:rPr>
          <w:lang w:val="fr-FR"/>
        </w:rPr>
        <w:t>’</w:t>
      </w:r>
      <w:r w:rsidR="00B06AB2" w:rsidRPr="00DC420E">
        <w:rPr>
          <w:lang w:val="fr-FR"/>
        </w:rPr>
        <w:t>affectation du fonctionnaire, sauf si l</w:t>
      </w:r>
      <w:r w:rsidR="00021FCB" w:rsidRPr="00DC420E">
        <w:rPr>
          <w:lang w:val="fr-FR"/>
        </w:rPr>
        <w:t>’</w:t>
      </w:r>
      <w:r w:rsidR="00B06AB2" w:rsidRPr="00DC420E">
        <w:rPr>
          <w:lang w:val="fr-FR"/>
        </w:rPr>
        <w:t>intéressé est muté ou réaffecté, sans prendre de congé, dans un autre lieu d</w:t>
      </w:r>
      <w:r w:rsidR="00021FCB" w:rsidRPr="00DC420E">
        <w:rPr>
          <w:lang w:val="fr-FR"/>
        </w:rPr>
        <w:t>’</w:t>
      </w:r>
      <w:r w:rsidR="00B06AB2" w:rsidRPr="00DC420E">
        <w:rPr>
          <w:lang w:val="fr-FR"/>
        </w:rPr>
        <w:t>affectation donnant le même droit.</w:t>
      </w:r>
    </w:p>
    <w:p w14:paraId="4C16BB40" w14:textId="3B3DC844" w:rsidR="00B06AB2" w:rsidRPr="00DC420E" w:rsidRDefault="00B06AB2" w:rsidP="007D7217">
      <w:pPr>
        <w:pStyle w:val="SingleTxt"/>
        <w:numPr>
          <w:ilvl w:val="0"/>
          <w:numId w:val="48"/>
        </w:numPr>
        <w:spacing w:line="240" w:lineRule="exact"/>
        <w:rPr>
          <w:lang w:val="fr-FR"/>
        </w:rPr>
      </w:pPr>
      <w:r w:rsidRPr="00DC420E">
        <w:rPr>
          <w:lang w:val="fr-FR"/>
        </w:rPr>
        <w:t>Si une telle combinaison se produit après l</w:t>
      </w:r>
      <w:r w:rsidR="00021FCB" w:rsidRPr="00DC420E">
        <w:rPr>
          <w:lang w:val="fr-FR"/>
        </w:rPr>
        <w:t>’</w:t>
      </w:r>
      <w:r w:rsidRPr="00DC420E">
        <w:rPr>
          <w:lang w:val="fr-FR"/>
        </w:rPr>
        <w:t>approbation ou le début du congé de détente, tous les jours qui ont été autorisés pour le congé de détente sont déduits au titre des congés annuels, ou autres congés, selon le cas.</w:t>
      </w:r>
    </w:p>
    <w:p w14:paraId="5066D53A" w14:textId="4C38B5FD" w:rsidR="00B06AB2" w:rsidRPr="00DC420E" w:rsidRDefault="00EB5C2C" w:rsidP="007D721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lastRenderedPageBreak/>
        <w:tab/>
      </w:r>
      <w:r w:rsidR="00B06AB2" w:rsidRPr="00DC420E">
        <w:rPr>
          <w:lang w:val="fr-FR"/>
        </w:rPr>
        <w:tab/>
        <w:t>Délai d</w:t>
      </w:r>
      <w:r w:rsidR="00021FCB" w:rsidRPr="00DC420E">
        <w:rPr>
          <w:lang w:val="fr-FR"/>
        </w:rPr>
        <w:t>’</w:t>
      </w:r>
      <w:r w:rsidR="00B06AB2" w:rsidRPr="00DC420E">
        <w:rPr>
          <w:lang w:val="fr-FR"/>
        </w:rPr>
        <w:t>utilisation du congé de détente</w:t>
      </w:r>
    </w:p>
    <w:p w14:paraId="7BA38FE2" w14:textId="4CD3D6EA" w:rsidR="00EB5C2C" w:rsidRPr="00DC420E" w:rsidRDefault="00EB5C2C" w:rsidP="007D7217">
      <w:pPr>
        <w:pStyle w:val="SingleTxt"/>
        <w:spacing w:after="0" w:line="120" w:lineRule="exact"/>
        <w:rPr>
          <w:sz w:val="10"/>
          <w:lang w:val="fr-FR"/>
        </w:rPr>
      </w:pPr>
    </w:p>
    <w:p w14:paraId="140EF67A" w14:textId="5C207521" w:rsidR="00B06AB2" w:rsidRPr="00DC420E" w:rsidRDefault="00B06AB2" w:rsidP="007D7217">
      <w:pPr>
        <w:pStyle w:val="SingleTxt"/>
        <w:numPr>
          <w:ilvl w:val="0"/>
          <w:numId w:val="49"/>
        </w:numPr>
        <w:spacing w:line="240" w:lineRule="exact"/>
        <w:rPr>
          <w:lang w:val="fr-FR"/>
        </w:rPr>
      </w:pPr>
      <w:r w:rsidRPr="00DC420E">
        <w:rPr>
          <w:lang w:val="fr-FR"/>
        </w:rPr>
        <w:t>Le congé de détente doit être pris dans un délai d</w:t>
      </w:r>
      <w:r w:rsidR="00021FCB" w:rsidRPr="00DC420E">
        <w:rPr>
          <w:lang w:val="fr-FR"/>
        </w:rPr>
        <w:t>’</w:t>
      </w:r>
      <w:r w:rsidRPr="00DC420E">
        <w:rPr>
          <w:lang w:val="fr-FR"/>
        </w:rPr>
        <w:t>un mois après l</w:t>
      </w:r>
      <w:r w:rsidR="00021FCB" w:rsidRPr="00DC420E">
        <w:rPr>
          <w:lang w:val="fr-FR"/>
        </w:rPr>
        <w:t>’</w:t>
      </w:r>
      <w:r w:rsidRPr="00DC420E">
        <w:rPr>
          <w:lang w:val="fr-FR"/>
        </w:rPr>
        <w:t>achèvement de la période de service y ouvrant droit et il est annulé si le fonctionnaire choisit de ne pas le prendre au cours de la période prescrite. Si les nécessités du service, telles qu</w:t>
      </w:r>
      <w:r w:rsidR="00021FCB" w:rsidRPr="00DC420E">
        <w:rPr>
          <w:lang w:val="fr-FR"/>
        </w:rPr>
        <w:t>’</w:t>
      </w:r>
      <w:r w:rsidRPr="00DC420E">
        <w:rPr>
          <w:lang w:val="fr-FR"/>
        </w:rPr>
        <w:t>elles sont déterminées par le chef de l</w:t>
      </w:r>
      <w:r w:rsidR="00021FCB" w:rsidRPr="00DC420E">
        <w:rPr>
          <w:lang w:val="fr-FR"/>
        </w:rPr>
        <w:t>’</w:t>
      </w:r>
      <w:r w:rsidRPr="00DC420E">
        <w:rPr>
          <w:lang w:val="fr-FR"/>
        </w:rPr>
        <w:t>administration ou le responsable de l</w:t>
      </w:r>
      <w:r w:rsidR="00021FCB" w:rsidRPr="00DC420E">
        <w:rPr>
          <w:lang w:val="fr-FR"/>
        </w:rPr>
        <w:t>’</w:t>
      </w:r>
      <w:r w:rsidRPr="00DC420E">
        <w:rPr>
          <w:lang w:val="fr-FR"/>
        </w:rPr>
        <w:t>appui à la mission, empêchent un fonctionnaire de prendre un congé de détente au cours de cette période, ce congé peut, à titre exceptionnel, être pris au cours du mois suivant. Une nouvelle période de service ouvrant droit au congé de détente commence dès le retour de l</w:t>
      </w:r>
      <w:r w:rsidR="00021FCB" w:rsidRPr="00DC420E">
        <w:rPr>
          <w:lang w:val="fr-FR"/>
        </w:rPr>
        <w:t>’</w:t>
      </w:r>
      <w:r w:rsidRPr="00DC420E">
        <w:rPr>
          <w:lang w:val="fr-FR"/>
        </w:rPr>
        <w:t>intéressé au lieu d</w:t>
      </w:r>
      <w:r w:rsidR="00021FCB" w:rsidRPr="00DC420E">
        <w:rPr>
          <w:lang w:val="fr-FR"/>
        </w:rPr>
        <w:t>’</w:t>
      </w:r>
      <w:r w:rsidRPr="00DC420E">
        <w:rPr>
          <w:lang w:val="fr-FR"/>
        </w:rPr>
        <w:t>affectation.</w:t>
      </w:r>
    </w:p>
    <w:p w14:paraId="1D126915" w14:textId="3B827D03" w:rsidR="00B06AB2" w:rsidRPr="00DC420E" w:rsidRDefault="00B06AB2" w:rsidP="007D7217">
      <w:pPr>
        <w:pStyle w:val="SingleTxt"/>
        <w:numPr>
          <w:ilvl w:val="0"/>
          <w:numId w:val="49"/>
        </w:numPr>
        <w:spacing w:line="240" w:lineRule="exact"/>
        <w:rPr>
          <w:lang w:val="fr-FR"/>
        </w:rPr>
      </w:pPr>
      <w:r w:rsidRPr="00DC420E">
        <w:rPr>
          <w:lang w:val="fr-FR"/>
        </w:rPr>
        <w:t>Le congé de détente ne peut pas être pris avant la fin de la période de service y ouvrant droit, reporté d</w:t>
      </w:r>
      <w:r w:rsidR="00021FCB" w:rsidRPr="00DC420E">
        <w:rPr>
          <w:lang w:val="fr-FR"/>
        </w:rPr>
        <w:t>’</w:t>
      </w:r>
      <w:r w:rsidRPr="00DC420E">
        <w:rPr>
          <w:lang w:val="fr-FR"/>
        </w:rPr>
        <w:t>une période à la suivante, ni être pris concurremment avec un congé de détente ultérieur.</w:t>
      </w:r>
    </w:p>
    <w:p w14:paraId="66561E66" w14:textId="3289FE95" w:rsidR="00B06AB2" w:rsidRPr="00DC420E" w:rsidRDefault="00B06AB2" w:rsidP="007D7217">
      <w:pPr>
        <w:pStyle w:val="SingleTxt"/>
        <w:numPr>
          <w:ilvl w:val="0"/>
          <w:numId w:val="49"/>
        </w:numPr>
        <w:spacing w:line="240" w:lineRule="exact"/>
        <w:rPr>
          <w:lang w:val="fr-FR"/>
        </w:rPr>
      </w:pPr>
      <w:r w:rsidRPr="00DC420E">
        <w:rPr>
          <w:lang w:val="fr-FR"/>
        </w:rPr>
        <w:t>À titre exceptionnel, par exemple lorsque les exigences du service le justifient, le fonctionnaire peut demander au chef de l</w:t>
      </w:r>
      <w:r w:rsidR="00021FCB" w:rsidRPr="00DC420E">
        <w:rPr>
          <w:lang w:val="fr-FR"/>
        </w:rPr>
        <w:t>’</w:t>
      </w:r>
      <w:r w:rsidRPr="00DC420E">
        <w:rPr>
          <w:lang w:val="fr-FR"/>
        </w:rPr>
        <w:t>administration ou au responsable de l</w:t>
      </w:r>
      <w:r w:rsidR="00021FCB" w:rsidRPr="00DC420E">
        <w:rPr>
          <w:lang w:val="fr-FR"/>
        </w:rPr>
        <w:t>’</w:t>
      </w:r>
      <w:r w:rsidRPr="00DC420E">
        <w:rPr>
          <w:lang w:val="fr-FR"/>
        </w:rPr>
        <w:t>appui à la mission de les autoriser à avancer leur départ de sept jours civils au maximum avant d</w:t>
      </w:r>
      <w:r w:rsidR="00021FCB" w:rsidRPr="00DC420E">
        <w:rPr>
          <w:lang w:val="fr-FR"/>
        </w:rPr>
        <w:t>’</w:t>
      </w:r>
      <w:r w:rsidRPr="00DC420E">
        <w:rPr>
          <w:lang w:val="fr-FR"/>
        </w:rPr>
        <w:t>avoir satisfait à la période de service ouvrant droit au congé. Dans ce cas, la période de service ouvrant droit au congé pour le prochain cycle sera allongée du même nombre de jours que celui autorisé pour le départ anticipé. Le départ en congé de détente ultérieur est subordonné à l</w:t>
      </w:r>
      <w:r w:rsidR="00021FCB" w:rsidRPr="00DC420E">
        <w:rPr>
          <w:lang w:val="fr-FR"/>
        </w:rPr>
        <w:t>’</w:t>
      </w:r>
      <w:r w:rsidRPr="00DC420E">
        <w:rPr>
          <w:lang w:val="fr-FR"/>
        </w:rPr>
        <w:t>achèvement de la période de service requise pour le cycle lui correspondant.</w:t>
      </w:r>
    </w:p>
    <w:p w14:paraId="764EC372" w14:textId="77777777" w:rsidR="00EB5C2C" w:rsidRPr="00DC420E" w:rsidRDefault="00EB5C2C" w:rsidP="007D7217">
      <w:pPr>
        <w:pStyle w:val="SingleTxt"/>
        <w:spacing w:after="0" w:line="120" w:lineRule="exact"/>
        <w:rPr>
          <w:b/>
          <w:bCs/>
          <w:sz w:val="10"/>
          <w:lang w:val="fr-FR"/>
        </w:rPr>
      </w:pPr>
    </w:p>
    <w:p w14:paraId="10D90BBF" w14:textId="72F85685" w:rsidR="00B06AB2" w:rsidRPr="00DC420E" w:rsidRDefault="00EB5C2C" w:rsidP="007D7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Pr="00DC420E">
        <w:rPr>
          <w:lang w:val="fr-FR"/>
        </w:rPr>
        <w:tab/>
      </w:r>
      <w:r w:rsidR="00B06AB2" w:rsidRPr="00DC420E">
        <w:rPr>
          <w:lang w:val="fr-FR"/>
        </w:rPr>
        <w:t>Section 4</w:t>
      </w:r>
      <w:r w:rsidRPr="00DC420E">
        <w:rPr>
          <w:lang w:val="fr-FR"/>
        </w:rPr>
        <w:t xml:space="preserve"> </w:t>
      </w:r>
      <w:r w:rsidRPr="00DC420E">
        <w:rPr>
          <w:lang w:val="fr-FR"/>
        </w:rPr>
        <w:br/>
      </w:r>
      <w:r w:rsidR="00B06AB2" w:rsidRPr="00DC420E">
        <w:rPr>
          <w:lang w:val="fr-FR"/>
        </w:rPr>
        <w:t>Transport</w:t>
      </w:r>
    </w:p>
    <w:p w14:paraId="5AAD0E2F" w14:textId="67F82A25" w:rsidR="00C36155" w:rsidRPr="00DC420E" w:rsidRDefault="00C36155" w:rsidP="007D7217">
      <w:pPr>
        <w:pStyle w:val="SingleTxt"/>
        <w:spacing w:after="0" w:line="120" w:lineRule="exact"/>
        <w:rPr>
          <w:iCs/>
          <w:sz w:val="10"/>
          <w:lang w:val="fr-FR"/>
        </w:rPr>
      </w:pPr>
    </w:p>
    <w:p w14:paraId="79C62D3C" w14:textId="77777777" w:rsidR="00EB5C2C" w:rsidRPr="00DC420E" w:rsidRDefault="00EB5C2C" w:rsidP="007D7217">
      <w:pPr>
        <w:pStyle w:val="SingleTxt"/>
        <w:numPr>
          <w:ilvl w:val="0"/>
          <w:numId w:val="52"/>
        </w:numPr>
        <w:spacing w:line="240" w:lineRule="exact"/>
        <w:rPr>
          <w:lang w:val="fr-FR"/>
        </w:rPr>
      </w:pPr>
      <w:r w:rsidRPr="00DC420E">
        <w:rPr>
          <w:lang w:val="fr-FR"/>
        </w:rPr>
        <w:t>L’Organisation prend à sa charge les frais de voyage, au tarif le moins cher de la classe économique, par l’itinéraire le plus économique et le plus direct, entre le lieu où le fonctionnaire est en poste et la localité désignée pour le congé de détente. Si les moyens de transport fournis par l’Organisation des Nations Unies ne sont pas disponibles, l’Organisation prend à sa charge les frais de voyage par le moyen de transport de surface le plus rapide et le moins cher. L’Organisation peut soit acheter elle-même le billet, soit verser une somme forfaitaire équivalente au coût du billet d’avion ou du moyen de transport de surface qu’elle aurait acheté si le fonctionnaire s’était rendu dans la localité désignée. Les présentes dispositions s’appliquent à tous les fonctionnaires, quelle que soit leur classe.</w:t>
      </w:r>
    </w:p>
    <w:p w14:paraId="42C2501B" w14:textId="77777777" w:rsidR="00EB5C2C" w:rsidRPr="00DC420E" w:rsidRDefault="00EB5C2C" w:rsidP="007D7217">
      <w:pPr>
        <w:pStyle w:val="SingleTxt"/>
        <w:numPr>
          <w:ilvl w:val="0"/>
          <w:numId w:val="52"/>
        </w:numPr>
        <w:spacing w:line="240" w:lineRule="exact"/>
        <w:rPr>
          <w:lang w:val="fr-FR"/>
        </w:rPr>
      </w:pPr>
      <w:r w:rsidRPr="00DC420E">
        <w:rPr>
          <w:lang w:val="fr-FR"/>
        </w:rPr>
        <w:t>Dans les cas où des moyens de transport de l’Organisation des Nations Unies sont disponibles, ils sont mis gratuitement à la disposition du fonctionnaire pour se rendre dans la localité désignée et en revenir, et il n’est alors effectué aucun versement au titre des frais de voyage.</w:t>
      </w:r>
    </w:p>
    <w:p w14:paraId="3387F8A5" w14:textId="6354CDE3" w:rsidR="00EB5C2C" w:rsidRPr="00DC420E" w:rsidRDefault="00EB5C2C" w:rsidP="007D7217">
      <w:pPr>
        <w:pStyle w:val="SingleTxt"/>
        <w:numPr>
          <w:ilvl w:val="0"/>
          <w:numId w:val="52"/>
        </w:numPr>
        <w:spacing w:line="240" w:lineRule="exact"/>
        <w:rPr>
          <w:lang w:val="fr-FR"/>
        </w:rPr>
      </w:pPr>
      <w:r w:rsidRPr="00DC420E">
        <w:rPr>
          <w:lang w:val="fr-FR"/>
        </w:rPr>
        <w:t>Le versement de la somme forfaitaire n’est pas applicable lorsque</w:t>
      </w:r>
      <w:r w:rsidR="007D7217" w:rsidRPr="00DC420E">
        <w:rPr>
          <w:lang w:val="fr-FR"/>
        </w:rPr>
        <w:t> :</w:t>
      </w:r>
    </w:p>
    <w:p w14:paraId="025AADCF" w14:textId="302D8046" w:rsidR="00EB5C2C" w:rsidRPr="00DC420E" w:rsidRDefault="00EB5C2C" w:rsidP="007D7217">
      <w:pPr>
        <w:pStyle w:val="SingleTxt"/>
        <w:rPr>
          <w:lang w:val="fr-FR"/>
        </w:rPr>
      </w:pPr>
      <w:r w:rsidRPr="00DC420E">
        <w:rPr>
          <w:lang w:val="fr-FR"/>
        </w:rPr>
        <w:tab/>
        <w:t>a)</w:t>
      </w:r>
      <w:r w:rsidRPr="00DC420E">
        <w:rPr>
          <w:lang w:val="fr-FR"/>
        </w:rPr>
        <w:tab/>
        <w:t>Le fonctionnaire ou la personne pouvant prétendre au congé de détente choisit, pour des raisons de convenance personnelle, de voyager à une date où les moyens de transport de l’Organisation des Nations Unies ne sont pas disponibles</w:t>
      </w:r>
      <w:r w:rsidR="00482AFC">
        <w:rPr>
          <w:lang w:val="fr-FR"/>
        </w:rPr>
        <w:t> ;</w:t>
      </w:r>
      <w:r w:rsidR="00482AFC" w:rsidRPr="00DC420E">
        <w:rPr>
          <w:lang w:val="fr-FR"/>
        </w:rPr>
        <w:t xml:space="preserve"> </w:t>
      </w:r>
      <w:r w:rsidRPr="00DC420E">
        <w:rPr>
          <w:lang w:val="fr-FR"/>
        </w:rPr>
        <w:t>ou</w:t>
      </w:r>
    </w:p>
    <w:p w14:paraId="6BCA85D5" w14:textId="77777777" w:rsidR="00EB5C2C" w:rsidRPr="00DC420E" w:rsidRDefault="00EB5C2C" w:rsidP="007D7217">
      <w:pPr>
        <w:pStyle w:val="SingleTxt"/>
        <w:rPr>
          <w:lang w:val="fr-FR"/>
        </w:rPr>
      </w:pPr>
      <w:r w:rsidRPr="00DC420E">
        <w:rPr>
          <w:lang w:val="fr-FR"/>
        </w:rPr>
        <w:tab/>
        <w:t>b)</w:t>
      </w:r>
      <w:r w:rsidRPr="00DC420E">
        <w:rPr>
          <w:lang w:val="fr-FR"/>
        </w:rPr>
        <w:tab/>
        <w:t>Le congé de détente est combiné avec un voyage en mission.</w:t>
      </w:r>
    </w:p>
    <w:p w14:paraId="537D3FF4" w14:textId="77777777" w:rsidR="00EB5C2C" w:rsidRPr="00DC420E" w:rsidRDefault="00EB5C2C" w:rsidP="007D7217">
      <w:pPr>
        <w:pStyle w:val="SingleTxt"/>
        <w:numPr>
          <w:ilvl w:val="0"/>
          <w:numId w:val="52"/>
        </w:numPr>
        <w:spacing w:line="240" w:lineRule="exact"/>
        <w:rPr>
          <w:lang w:val="fr-FR"/>
        </w:rPr>
      </w:pPr>
      <w:r w:rsidRPr="00DC420E">
        <w:rPr>
          <w:lang w:val="fr-FR"/>
        </w:rPr>
        <w:t>L’indemnité de subsistance et les faux frais au départ et à l’arrivée ne sont toutefois pas versés pour la continuation ou la durée du voyage au titre du congé de détente. Cela s’applique également à l’indemnité journalière de subsistance et aux faux frais liés à la poursuite du voyage en congé de détente lorsqu’il est combiné avec un voyage en mission.</w:t>
      </w:r>
    </w:p>
    <w:p w14:paraId="070B6310" w14:textId="77777777" w:rsidR="00EB5C2C" w:rsidRPr="00DC420E" w:rsidRDefault="00EB5C2C" w:rsidP="007D7217">
      <w:pPr>
        <w:pStyle w:val="SingleTxt"/>
        <w:numPr>
          <w:ilvl w:val="0"/>
          <w:numId w:val="52"/>
        </w:numPr>
        <w:spacing w:line="240" w:lineRule="exact"/>
        <w:rPr>
          <w:lang w:val="fr-FR"/>
        </w:rPr>
      </w:pPr>
      <w:r w:rsidRPr="00DC420E">
        <w:rPr>
          <w:lang w:val="fr-FR"/>
        </w:rPr>
        <w:lastRenderedPageBreak/>
        <w:t>Quelle que soit la destination choisie par le fonctionnaire, la responsabilité financière de l’Organisation se limite aux frais de transport entre le lieu d’affectation et la localité désignée.</w:t>
      </w:r>
    </w:p>
    <w:p w14:paraId="4E342417" w14:textId="219CCCFB" w:rsidR="00EB5C2C" w:rsidRPr="00DC420E" w:rsidRDefault="00EB5C2C" w:rsidP="007D7217">
      <w:pPr>
        <w:pStyle w:val="SingleTxt"/>
        <w:spacing w:after="0" w:line="120" w:lineRule="exact"/>
        <w:rPr>
          <w:sz w:val="10"/>
          <w:lang w:val="fr-FR"/>
        </w:rPr>
      </w:pPr>
      <w:bookmarkStart w:id="8" w:name="_Hlk529279952"/>
      <w:bookmarkEnd w:id="8"/>
    </w:p>
    <w:p w14:paraId="00CEF295" w14:textId="52389C35" w:rsidR="00EB5C2C" w:rsidRPr="00DC420E" w:rsidRDefault="00EB5C2C" w:rsidP="007D7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Pr="00DC420E">
        <w:rPr>
          <w:lang w:val="fr-FR"/>
        </w:rPr>
        <w:tab/>
      </w:r>
      <w:r w:rsidR="00B06AB2" w:rsidRPr="00DC420E">
        <w:rPr>
          <w:lang w:val="fr-FR"/>
        </w:rPr>
        <w:t>Section 5</w:t>
      </w:r>
      <w:r w:rsidRPr="00DC420E">
        <w:rPr>
          <w:lang w:val="fr-FR"/>
        </w:rPr>
        <w:t xml:space="preserve"> </w:t>
      </w:r>
      <w:r w:rsidRPr="00DC420E">
        <w:rPr>
          <w:lang w:val="fr-FR"/>
        </w:rPr>
        <w:br/>
      </w:r>
      <w:r w:rsidR="00B06AB2" w:rsidRPr="00DC420E">
        <w:rPr>
          <w:lang w:val="fr-FR"/>
        </w:rPr>
        <w:t>Relations entre le congé de détente et d</w:t>
      </w:r>
      <w:r w:rsidR="00021FCB" w:rsidRPr="00DC420E">
        <w:rPr>
          <w:lang w:val="fr-FR"/>
        </w:rPr>
        <w:t>’</w:t>
      </w:r>
      <w:r w:rsidR="00B06AB2" w:rsidRPr="00DC420E">
        <w:rPr>
          <w:lang w:val="fr-FR"/>
        </w:rPr>
        <w:t>autres droits</w:t>
      </w:r>
    </w:p>
    <w:p w14:paraId="68A10049" w14:textId="7934C25E" w:rsidR="00C36155" w:rsidRPr="00DC420E" w:rsidRDefault="00C36155" w:rsidP="007D7217">
      <w:pPr>
        <w:pStyle w:val="SingleTxt"/>
        <w:spacing w:after="0" w:line="120" w:lineRule="exact"/>
        <w:rPr>
          <w:sz w:val="10"/>
          <w:lang w:val="fr-FR"/>
        </w:rPr>
      </w:pPr>
    </w:p>
    <w:p w14:paraId="60C5F2A9" w14:textId="3D7973E6" w:rsidR="00B06AB2" w:rsidRPr="00DC420E" w:rsidRDefault="00B06AB2" w:rsidP="007D7217">
      <w:pPr>
        <w:pStyle w:val="SingleTxt"/>
        <w:numPr>
          <w:ilvl w:val="0"/>
          <w:numId w:val="53"/>
        </w:numPr>
        <w:spacing w:line="240" w:lineRule="exact"/>
        <w:rPr>
          <w:lang w:val="fr-FR"/>
        </w:rPr>
      </w:pPr>
      <w:r w:rsidRPr="00DC420E">
        <w:rPr>
          <w:lang w:val="fr-FR"/>
        </w:rPr>
        <w:t>Les voyages au titre du congé dans les foyers, d</w:t>
      </w:r>
      <w:r w:rsidR="00021FCB" w:rsidRPr="00DC420E">
        <w:rPr>
          <w:lang w:val="fr-FR"/>
        </w:rPr>
        <w:t>’</w:t>
      </w:r>
      <w:r w:rsidRPr="00DC420E">
        <w:rPr>
          <w:lang w:val="fr-FR"/>
        </w:rPr>
        <w:t>une visite familiale ou d</w:t>
      </w:r>
      <w:r w:rsidR="00021FCB" w:rsidRPr="00DC420E">
        <w:rPr>
          <w:lang w:val="fr-FR"/>
        </w:rPr>
        <w:t>’</w:t>
      </w:r>
      <w:r w:rsidRPr="00DC420E">
        <w:rPr>
          <w:lang w:val="fr-FR"/>
        </w:rPr>
        <w:t>une visite au lieu d</w:t>
      </w:r>
      <w:r w:rsidR="00021FCB" w:rsidRPr="00DC420E">
        <w:rPr>
          <w:lang w:val="fr-FR"/>
        </w:rPr>
        <w:t>’</w:t>
      </w:r>
      <w:r w:rsidRPr="00DC420E">
        <w:rPr>
          <w:lang w:val="fr-FR"/>
        </w:rPr>
        <w:t>études des enfants ne ont pas autorisés pendant au moins un mois après le retour de l</w:t>
      </w:r>
      <w:r w:rsidR="00021FCB" w:rsidRPr="00DC420E">
        <w:rPr>
          <w:lang w:val="fr-FR"/>
        </w:rPr>
        <w:t>’</w:t>
      </w:r>
      <w:r w:rsidRPr="00DC420E">
        <w:rPr>
          <w:lang w:val="fr-FR"/>
        </w:rPr>
        <w:t>intéressé d</w:t>
      </w:r>
      <w:r w:rsidR="00021FCB" w:rsidRPr="00DC420E">
        <w:rPr>
          <w:lang w:val="fr-FR"/>
        </w:rPr>
        <w:t>’</w:t>
      </w:r>
      <w:r w:rsidRPr="00DC420E">
        <w:rPr>
          <w:lang w:val="fr-FR"/>
        </w:rPr>
        <w:t>un congé de détente.</w:t>
      </w:r>
    </w:p>
    <w:p w14:paraId="24FB1716" w14:textId="0B5545FF" w:rsidR="00B06AB2" w:rsidRPr="00DC420E" w:rsidRDefault="00B06AB2" w:rsidP="007D7217">
      <w:pPr>
        <w:pStyle w:val="SingleTxt"/>
        <w:numPr>
          <w:ilvl w:val="0"/>
          <w:numId w:val="53"/>
        </w:numPr>
        <w:spacing w:line="240" w:lineRule="exact"/>
        <w:rPr>
          <w:lang w:val="fr-FR"/>
        </w:rPr>
      </w:pPr>
      <w:r w:rsidRPr="00DC420E">
        <w:rPr>
          <w:lang w:val="fr-FR"/>
        </w:rPr>
        <w:t>Les fonctionnaires recrutés sur le plan international qui exercent leurs fonctions dans des lieux d</w:t>
      </w:r>
      <w:r w:rsidR="00021FCB" w:rsidRPr="00DC420E">
        <w:rPr>
          <w:lang w:val="fr-FR"/>
        </w:rPr>
        <w:t>’</w:t>
      </w:r>
      <w:r w:rsidRPr="00DC420E">
        <w:rPr>
          <w:lang w:val="fr-FR"/>
        </w:rPr>
        <w:t>affectation ouvrant droit au congé de détente n</w:t>
      </w:r>
      <w:r w:rsidR="00021FCB" w:rsidRPr="00DC420E">
        <w:rPr>
          <w:lang w:val="fr-FR"/>
        </w:rPr>
        <w:t>’</w:t>
      </w:r>
      <w:r w:rsidRPr="00DC420E">
        <w:rPr>
          <w:lang w:val="fr-FR"/>
        </w:rPr>
        <w:t>ont droit ni au paiement d</w:t>
      </w:r>
      <w:r w:rsidR="00021FCB" w:rsidRPr="00DC420E">
        <w:rPr>
          <w:lang w:val="fr-FR"/>
        </w:rPr>
        <w:t>’</w:t>
      </w:r>
      <w:r w:rsidRPr="00DC420E">
        <w:rPr>
          <w:lang w:val="fr-FR"/>
        </w:rPr>
        <w:t>heures supplémentaires ni à des journées de compensation.</w:t>
      </w:r>
    </w:p>
    <w:p w14:paraId="56E01AF1" w14:textId="6E767AD8" w:rsidR="00EB5C2C" w:rsidRPr="00DC420E" w:rsidRDefault="00EB5C2C" w:rsidP="007D7217">
      <w:pPr>
        <w:pStyle w:val="SingleTxt"/>
        <w:tabs>
          <w:tab w:val="clear" w:pos="1742"/>
        </w:tabs>
        <w:spacing w:after="0" w:line="120" w:lineRule="exact"/>
        <w:rPr>
          <w:sz w:val="10"/>
          <w:lang w:val="fr-FR"/>
        </w:rPr>
      </w:pPr>
    </w:p>
    <w:p w14:paraId="64584333" w14:textId="5F89A0B5" w:rsidR="00B06AB2" w:rsidRPr="00DC420E" w:rsidRDefault="00EB5C2C" w:rsidP="007D721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DC420E">
        <w:rPr>
          <w:lang w:val="fr-FR"/>
        </w:rPr>
        <w:tab/>
      </w:r>
      <w:r w:rsidR="00B06AB2" w:rsidRPr="00DC420E">
        <w:rPr>
          <w:lang w:val="fr-FR"/>
        </w:rPr>
        <w:tab/>
      </w:r>
      <w:r w:rsidR="00B06AB2" w:rsidRPr="00DC420E">
        <w:rPr>
          <w:bCs/>
          <w:lang w:val="fr-FR"/>
        </w:rPr>
        <w:t>Section 6</w:t>
      </w:r>
      <w:r w:rsidRPr="00DC420E">
        <w:rPr>
          <w:bCs/>
          <w:lang w:val="fr-FR"/>
        </w:rPr>
        <w:t xml:space="preserve"> </w:t>
      </w:r>
      <w:r w:rsidRPr="00DC420E">
        <w:rPr>
          <w:bCs/>
          <w:lang w:val="fr-FR"/>
        </w:rPr>
        <w:br/>
      </w:r>
      <w:r w:rsidR="00B06AB2" w:rsidRPr="00DC420E">
        <w:rPr>
          <w:bCs/>
          <w:lang w:val="fr-FR"/>
        </w:rPr>
        <w:t>Dispositions finales</w:t>
      </w:r>
    </w:p>
    <w:p w14:paraId="4A6FF501" w14:textId="4417021A" w:rsidR="00EB5C2C" w:rsidRPr="00DC420E" w:rsidRDefault="00EB5C2C" w:rsidP="007D7217">
      <w:pPr>
        <w:pStyle w:val="SingleTxt"/>
        <w:spacing w:after="0" w:line="120" w:lineRule="exact"/>
        <w:rPr>
          <w:sz w:val="10"/>
          <w:lang w:val="fr-FR"/>
        </w:rPr>
      </w:pPr>
    </w:p>
    <w:p w14:paraId="2916EF5E" w14:textId="3DE721FC" w:rsidR="00B06AB2" w:rsidRPr="00DC420E" w:rsidRDefault="00B06AB2" w:rsidP="007D7217">
      <w:pPr>
        <w:pStyle w:val="SingleTxt"/>
        <w:numPr>
          <w:ilvl w:val="0"/>
          <w:numId w:val="54"/>
        </w:numPr>
        <w:spacing w:line="240" w:lineRule="exact"/>
        <w:rPr>
          <w:lang w:val="fr-FR"/>
        </w:rPr>
      </w:pPr>
      <w:r w:rsidRPr="00DC420E">
        <w:rPr>
          <w:lang w:val="fr-FR"/>
        </w:rPr>
        <w:t>La présente instruction entre en vigueur à la date de sa publication.</w:t>
      </w:r>
    </w:p>
    <w:p w14:paraId="6FE9BBF1" w14:textId="04950259" w:rsidR="00B06AB2" w:rsidRPr="00482AFC" w:rsidRDefault="00B06AB2" w:rsidP="007D7217">
      <w:pPr>
        <w:pStyle w:val="SingleTxt"/>
        <w:numPr>
          <w:ilvl w:val="0"/>
          <w:numId w:val="54"/>
        </w:numPr>
        <w:spacing w:line="240" w:lineRule="exact"/>
        <w:rPr>
          <w:spacing w:val="6"/>
          <w:lang w:val="fr-FR"/>
        </w:rPr>
      </w:pPr>
      <w:r w:rsidRPr="00482AFC">
        <w:rPr>
          <w:spacing w:val="6"/>
          <w:lang w:val="fr-FR"/>
        </w:rPr>
        <w:t xml:space="preserve">Les instructions administratives </w:t>
      </w:r>
      <w:hyperlink r:id="rId17" w:history="1">
        <w:r w:rsidRPr="00482AFC">
          <w:rPr>
            <w:rStyle w:val="Hyperlink"/>
            <w:spacing w:val="6"/>
            <w:lang w:val="fr-FR"/>
          </w:rPr>
          <w:t>ST/AI/20</w:t>
        </w:r>
        <w:bookmarkStart w:id="9" w:name="TmpSave"/>
        <w:bookmarkEnd w:id="9"/>
        <w:r w:rsidRPr="00482AFC">
          <w:rPr>
            <w:rStyle w:val="Hyperlink"/>
            <w:spacing w:val="6"/>
            <w:lang w:val="fr-FR"/>
          </w:rPr>
          <w:t>11/7</w:t>
        </w:r>
      </w:hyperlink>
      <w:r w:rsidRPr="00482AFC">
        <w:rPr>
          <w:spacing w:val="6"/>
          <w:lang w:val="fr-FR"/>
        </w:rPr>
        <w:t xml:space="preserve">, </w:t>
      </w:r>
      <w:hyperlink r:id="rId18" w:history="1">
        <w:r w:rsidRPr="00482AFC">
          <w:rPr>
            <w:rStyle w:val="Hyperlink"/>
            <w:spacing w:val="6"/>
            <w:lang w:val="fr-FR"/>
          </w:rPr>
          <w:t>ST/AI/2011/7/Amend.1</w:t>
        </w:r>
      </w:hyperlink>
      <w:r w:rsidRPr="00482AFC">
        <w:rPr>
          <w:spacing w:val="6"/>
          <w:lang w:val="fr-FR"/>
        </w:rPr>
        <w:t xml:space="preserve"> et </w:t>
      </w:r>
      <w:hyperlink r:id="rId19" w:history="1">
        <w:r w:rsidRPr="00482AFC">
          <w:rPr>
            <w:rStyle w:val="Hyperlink"/>
            <w:spacing w:val="6"/>
            <w:lang w:val="fr-FR"/>
          </w:rPr>
          <w:t>ST/AI/</w:t>
        </w:r>
        <w:bookmarkStart w:id="10" w:name="SCName"/>
        <w:r w:rsidRPr="00482AFC">
          <w:rPr>
            <w:rStyle w:val="Hyperlink"/>
            <w:spacing w:val="6"/>
            <w:lang w:val="fr-FR"/>
          </w:rPr>
          <w:t>2011/7</w:t>
        </w:r>
        <w:bookmarkEnd w:id="10"/>
        <w:r w:rsidRPr="00482AFC">
          <w:rPr>
            <w:rStyle w:val="Hyperlink"/>
            <w:spacing w:val="6"/>
            <w:lang w:val="fr-FR"/>
          </w:rPr>
          <w:t>/Amend.2</w:t>
        </w:r>
      </w:hyperlink>
      <w:r w:rsidRPr="00482AFC">
        <w:rPr>
          <w:spacing w:val="6"/>
          <w:lang w:val="fr-FR"/>
        </w:rPr>
        <w:t>, datées du 28 juin 2011, du 28 décembre 2011 et du 23</w:t>
      </w:r>
      <w:r w:rsidR="00482AFC">
        <w:rPr>
          <w:spacing w:val="6"/>
          <w:lang w:val="fr-FR"/>
        </w:rPr>
        <w:t> </w:t>
      </w:r>
      <w:r w:rsidRPr="00482AFC">
        <w:rPr>
          <w:spacing w:val="6"/>
          <w:lang w:val="fr-FR"/>
        </w:rPr>
        <w:t>juillet 2012, respectivement, sont abrogées.</w:t>
      </w:r>
    </w:p>
    <w:p w14:paraId="74DC01BC" w14:textId="72A2D590" w:rsidR="00B06AB2" w:rsidRPr="00DC420E" w:rsidRDefault="00B06AB2" w:rsidP="007D7217">
      <w:pPr>
        <w:pStyle w:val="SingleTxt"/>
        <w:spacing w:after="0" w:line="120" w:lineRule="exact"/>
        <w:rPr>
          <w:sz w:val="10"/>
          <w:lang w:val="fr-FR"/>
        </w:rPr>
      </w:pPr>
    </w:p>
    <w:p w14:paraId="32B4156F" w14:textId="5D6330F8" w:rsidR="00B06AB2" w:rsidRPr="00DC420E" w:rsidRDefault="00B06AB2" w:rsidP="007D7217">
      <w:pPr>
        <w:pStyle w:val="SingleTxt"/>
        <w:jc w:val="right"/>
        <w:rPr>
          <w:lang w:val="fr-FR"/>
        </w:rPr>
      </w:pPr>
      <w:r w:rsidRPr="00DC420E">
        <w:rPr>
          <w:lang w:val="fr-FR"/>
        </w:rPr>
        <w:t xml:space="preserve">La Secrétaire générale adjointe à la gestion </w:t>
      </w:r>
      <w:r w:rsidR="00EB5C2C" w:rsidRPr="00DC420E">
        <w:rPr>
          <w:lang w:val="fr-FR"/>
        </w:rPr>
        <w:br/>
      </w:r>
      <w:r w:rsidRPr="00DC420E">
        <w:rPr>
          <w:lang w:val="fr-FR"/>
        </w:rPr>
        <w:t>(</w:t>
      </w:r>
      <w:r w:rsidRPr="00DC420E">
        <w:rPr>
          <w:i/>
          <w:iCs/>
          <w:lang w:val="fr-FR"/>
        </w:rPr>
        <w:t>Signé</w:t>
      </w:r>
      <w:r w:rsidRPr="00DC420E">
        <w:rPr>
          <w:lang w:val="fr-FR"/>
        </w:rPr>
        <w:t xml:space="preserve">) Jan </w:t>
      </w:r>
      <w:r w:rsidRPr="00DC420E">
        <w:rPr>
          <w:b/>
          <w:bCs/>
          <w:lang w:val="fr-FR"/>
        </w:rPr>
        <w:t>Beagle</w:t>
      </w:r>
    </w:p>
    <w:p w14:paraId="0B55A2D3" w14:textId="5F80CB8A" w:rsidR="00B06AB2" w:rsidRPr="00DC420E" w:rsidRDefault="00B06AB2" w:rsidP="00C709C4">
      <w:pPr>
        <w:pStyle w:val="SingleTxt"/>
        <w:rPr>
          <w:lang w:val="fr-FR"/>
        </w:rPr>
      </w:pPr>
    </w:p>
    <w:p w14:paraId="6B0D66BD" w14:textId="7C2B594B" w:rsidR="00B06AB2" w:rsidRPr="00DC420E" w:rsidRDefault="00B06AB2">
      <w:pPr>
        <w:spacing w:after="200" w:line="276" w:lineRule="auto"/>
        <w:rPr>
          <w:lang w:val="fr-FR"/>
        </w:rPr>
      </w:pPr>
      <w:r w:rsidRPr="00DC420E">
        <w:rPr>
          <w:lang w:val="fr-FR"/>
        </w:rPr>
        <w:br w:type="page"/>
      </w:r>
    </w:p>
    <w:p w14:paraId="10B14693" w14:textId="77777777" w:rsidR="00B06AB2" w:rsidRPr="00DC420E" w:rsidRDefault="00B06AB2" w:rsidP="007D72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i/>
          <w:iCs/>
          <w:lang w:val="fr-FR"/>
        </w:rPr>
      </w:pPr>
      <w:r w:rsidRPr="00DC420E">
        <w:rPr>
          <w:lang w:val="fr-FR"/>
        </w:rPr>
        <w:lastRenderedPageBreak/>
        <w:t>Annexe</w:t>
      </w:r>
    </w:p>
    <w:p w14:paraId="7BED2AE6" w14:textId="4BE22A74" w:rsidR="00B06AB2" w:rsidRPr="00DC420E" w:rsidRDefault="00B06AB2" w:rsidP="007D7217">
      <w:pPr>
        <w:pStyle w:val="SingleTxt"/>
        <w:spacing w:after="0" w:line="120" w:lineRule="exact"/>
        <w:rPr>
          <w:sz w:val="10"/>
          <w:lang w:val="fr-FR"/>
        </w:rPr>
      </w:pPr>
    </w:p>
    <w:p w14:paraId="4083EDA8" w14:textId="415A9247" w:rsidR="00B06AB2" w:rsidRPr="00DC420E" w:rsidRDefault="00B06AB2" w:rsidP="007D721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C420E">
        <w:rPr>
          <w:lang w:val="fr-FR"/>
        </w:rPr>
        <w:tab/>
      </w:r>
      <w:r w:rsidRPr="00DC420E">
        <w:rPr>
          <w:lang w:val="fr-FR"/>
        </w:rPr>
        <w:tab/>
        <w:t>Cadre d</w:t>
      </w:r>
      <w:r w:rsidR="00021FCB" w:rsidRPr="00DC420E">
        <w:rPr>
          <w:lang w:val="fr-FR"/>
        </w:rPr>
        <w:t>’</w:t>
      </w:r>
      <w:r w:rsidRPr="00DC420E">
        <w:rPr>
          <w:lang w:val="fr-FR"/>
        </w:rPr>
        <w:t>application du congé de détente</w:t>
      </w:r>
    </w:p>
    <w:p w14:paraId="20412558" w14:textId="70DD4238" w:rsidR="00B06AB2" w:rsidRPr="00DC420E" w:rsidRDefault="00B06AB2" w:rsidP="007D7217">
      <w:pPr>
        <w:pStyle w:val="SingleTxt"/>
        <w:spacing w:after="0" w:line="120" w:lineRule="exact"/>
        <w:rPr>
          <w:sz w:val="10"/>
          <w:lang w:val="fr-FR"/>
        </w:rPr>
      </w:pPr>
    </w:p>
    <w:p w14:paraId="7342527B" w14:textId="52632780" w:rsidR="009135B5" w:rsidRPr="00DC420E" w:rsidRDefault="009135B5" w:rsidP="007D7217">
      <w:pPr>
        <w:pStyle w:val="SingleTxt"/>
        <w:spacing w:after="0" w:line="120" w:lineRule="exact"/>
        <w:rPr>
          <w:sz w:val="10"/>
          <w:lang w:val="fr-FR"/>
        </w:rPr>
      </w:pPr>
    </w:p>
    <w:tbl>
      <w:tblPr>
        <w:tblW w:w="7293" w:type="dxa"/>
        <w:tblInd w:w="1287" w:type="dxa"/>
        <w:tblLayout w:type="fixed"/>
        <w:tblCellMar>
          <w:left w:w="0" w:type="dxa"/>
          <w:right w:w="0" w:type="dxa"/>
        </w:tblCellMar>
        <w:tblLook w:val="0000" w:firstRow="0" w:lastRow="0" w:firstColumn="0" w:lastColumn="0" w:noHBand="0" w:noVBand="0"/>
      </w:tblPr>
      <w:tblGrid>
        <w:gridCol w:w="1179"/>
        <w:gridCol w:w="6114"/>
      </w:tblGrid>
      <w:tr w:rsidR="009E5049" w:rsidRPr="00DC420E" w14:paraId="146D3804" w14:textId="77777777" w:rsidTr="002E14B9">
        <w:trPr>
          <w:tblHeader/>
        </w:trPr>
        <w:tc>
          <w:tcPr>
            <w:tcW w:w="1179" w:type="dxa"/>
            <w:tcBorders>
              <w:top w:val="single" w:sz="4" w:space="0" w:color="auto"/>
              <w:bottom w:val="single" w:sz="12" w:space="0" w:color="auto"/>
            </w:tcBorders>
            <w:shd w:val="clear" w:color="auto" w:fill="auto"/>
            <w:noWrap/>
            <w:vAlign w:val="bottom"/>
          </w:tcPr>
          <w:p w14:paraId="740A958B" w14:textId="77777777" w:rsidR="00B06AB2" w:rsidRPr="00DC420E" w:rsidRDefault="00B06AB2" w:rsidP="007D7217">
            <w:pPr>
              <w:suppressAutoHyphens/>
              <w:spacing w:before="81" w:after="81" w:line="160" w:lineRule="exact"/>
              <w:ind w:right="40"/>
              <w:rPr>
                <w:i/>
                <w:sz w:val="14"/>
                <w:lang w:val="fr-FR"/>
              </w:rPr>
            </w:pPr>
            <w:r w:rsidRPr="00DC420E">
              <w:rPr>
                <w:i/>
                <w:sz w:val="14"/>
                <w:lang w:val="fr-FR"/>
              </w:rPr>
              <w:t>Périodicité</w:t>
            </w:r>
          </w:p>
        </w:tc>
        <w:tc>
          <w:tcPr>
            <w:tcW w:w="6114" w:type="dxa"/>
            <w:tcBorders>
              <w:top w:val="single" w:sz="4" w:space="0" w:color="auto"/>
              <w:bottom w:val="single" w:sz="12" w:space="0" w:color="auto"/>
            </w:tcBorders>
            <w:shd w:val="clear" w:color="auto" w:fill="auto"/>
            <w:noWrap/>
            <w:vAlign w:val="bottom"/>
          </w:tcPr>
          <w:p w14:paraId="5517FDB7" w14:textId="77777777" w:rsidR="00B06AB2" w:rsidRPr="00DC420E" w:rsidRDefault="00B06AB2" w:rsidP="007D7217">
            <w:pPr>
              <w:suppressAutoHyphens/>
              <w:spacing w:before="81" w:after="81" w:line="160" w:lineRule="exact"/>
              <w:ind w:left="144" w:right="43"/>
              <w:rPr>
                <w:i/>
                <w:sz w:val="14"/>
                <w:lang w:val="fr-FR"/>
              </w:rPr>
            </w:pPr>
            <w:r w:rsidRPr="00DC420E">
              <w:rPr>
                <w:i/>
                <w:sz w:val="14"/>
                <w:lang w:val="fr-FR"/>
              </w:rPr>
              <w:t>Conditions</w:t>
            </w:r>
          </w:p>
        </w:tc>
      </w:tr>
      <w:tr w:rsidR="009E5049" w:rsidRPr="00DC420E" w14:paraId="60718FB9" w14:textId="77777777" w:rsidTr="002E14B9">
        <w:trPr>
          <w:trHeight w:hRule="exact" w:val="115"/>
          <w:tblHeader/>
        </w:trPr>
        <w:tc>
          <w:tcPr>
            <w:tcW w:w="1179" w:type="dxa"/>
            <w:tcBorders>
              <w:top w:val="single" w:sz="12" w:space="0" w:color="auto"/>
            </w:tcBorders>
            <w:shd w:val="clear" w:color="auto" w:fill="auto"/>
            <w:noWrap/>
            <w:vAlign w:val="bottom"/>
          </w:tcPr>
          <w:p w14:paraId="3D0A9F76" w14:textId="77777777" w:rsidR="00B06AB2" w:rsidRPr="00DC420E" w:rsidRDefault="00B06AB2" w:rsidP="007D7217">
            <w:pPr>
              <w:suppressAutoHyphens/>
              <w:spacing w:before="40" w:after="80"/>
              <w:ind w:right="40"/>
              <w:rPr>
                <w:lang w:val="fr-FR"/>
              </w:rPr>
            </w:pPr>
          </w:p>
        </w:tc>
        <w:tc>
          <w:tcPr>
            <w:tcW w:w="6114" w:type="dxa"/>
            <w:tcBorders>
              <w:top w:val="single" w:sz="12" w:space="0" w:color="auto"/>
            </w:tcBorders>
            <w:shd w:val="clear" w:color="auto" w:fill="auto"/>
            <w:noWrap/>
            <w:vAlign w:val="bottom"/>
          </w:tcPr>
          <w:p w14:paraId="5B943992" w14:textId="77777777" w:rsidR="00B06AB2" w:rsidRPr="00DC420E" w:rsidRDefault="00B06AB2" w:rsidP="007D7217">
            <w:pPr>
              <w:suppressAutoHyphens/>
              <w:spacing w:before="40" w:after="80"/>
              <w:ind w:left="144" w:right="43"/>
              <w:rPr>
                <w:lang w:val="fr-FR"/>
              </w:rPr>
            </w:pPr>
          </w:p>
        </w:tc>
      </w:tr>
      <w:tr w:rsidR="009E5049" w:rsidRPr="00DC420E" w14:paraId="13F05953" w14:textId="77777777" w:rsidTr="002E14B9">
        <w:tc>
          <w:tcPr>
            <w:tcW w:w="1179" w:type="dxa"/>
            <w:shd w:val="clear" w:color="auto" w:fill="auto"/>
            <w:noWrap/>
          </w:tcPr>
          <w:p w14:paraId="7FA38571"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r w:rsidRPr="00DC420E">
              <w:rPr>
                <w:lang w:val="fr-FR"/>
              </w:rPr>
              <w:t>6 semaines</w:t>
            </w:r>
            <w:r w:rsidRPr="00791DA5">
              <w:rPr>
                <w:i/>
                <w:vertAlign w:val="superscript"/>
                <w:lang w:val="fr-FR"/>
              </w:rPr>
              <w:t>a</w:t>
            </w:r>
          </w:p>
        </w:tc>
        <w:tc>
          <w:tcPr>
            <w:tcW w:w="6114" w:type="dxa"/>
            <w:shd w:val="clear" w:color="auto" w:fill="auto"/>
            <w:noWrap/>
          </w:tcPr>
          <w:p w14:paraId="3F434D11" w14:textId="4AAA951E" w:rsidR="00B06AB2" w:rsidRPr="00DC420E" w:rsidRDefault="00B06AB2" w:rsidP="007D7217">
            <w:pPr>
              <w:tabs>
                <w:tab w:val="left" w:pos="288"/>
                <w:tab w:val="left" w:pos="576"/>
                <w:tab w:val="left" w:pos="864"/>
                <w:tab w:val="left" w:pos="1152"/>
              </w:tabs>
              <w:suppressAutoHyphens/>
              <w:spacing w:before="40" w:after="80"/>
              <w:ind w:left="144" w:right="43"/>
              <w:rPr>
                <w:lang w:val="fr-FR"/>
              </w:rPr>
            </w:pPr>
            <w:r w:rsidRPr="00DC420E">
              <w:rPr>
                <w:lang w:val="fr-FR"/>
              </w:rPr>
              <w:t>Situations extrêmes telles que</w:t>
            </w:r>
            <w:r w:rsidR="007D7217" w:rsidRPr="00DC420E">
              <w:rPr>
                <w:lang w:val="fr-FR"/>
              </w:rPr>
              <w:t> :</w:t>
            </w:r>
          </w:p>
        </w:tc>
      </w:tr>
      <w:tr w:rsidR="009E5049" w:rsidRPr="00DC420E" w14:paraId="09BE6746" w14:textId="77777777" w:rsidTr="002E14B9">
        <w:tc>
          <w:tcPr>
            <w:tcW w:w="1179" w:type="dxa"/>
            <w:shd w:val="clear" w:color="auto" w:fill="auto"/>
            <w:noWrap/>
          </w:tcPr>
          <w:p w14:paraId="069F77F5"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p>
        </w:tc>
        <w:tc>
          <w:tcPr>
            <w:tcW w:w="6114" w:type="dxa"/>
            <w:shd w:val="clear" w:color="auto" w:fill="auto"/>
            <w:noWrap/>
          </w:tcPr>
          <w:p w14:paraId="2EC9AB53" w14:textId="0D278C40" w:rsidR="00B06AB2" w:rsidRPr="00DC420E" w:rsidRDefault="00B06AB2" w:rsidP="00791DA5">
            <w:pPr>
              <w:tabs>
                <w:tab w:val="left" w:pos="144"/>
                <w:tab w:val="left" w:pos="288"/>
                <w:tab w:val="left" w:pos="576"/>
                <w:tab w:val="left" w:pos="864"/>
                <w:tab w:val="left" w:pos="1152"/>
              </w:tabs>
              <w:suppressAutoHyphens/>
              <w:spacing w:before="40" w:after="80"/>
              <w:ind w:left="288" w:right="43" w:hanging="288"/>
              <w:rPr>
                <w:lang w:val="fr-FR"/>
              </w:rPr>
            </w:pPr>
            <w:r w:rsidRPr="00DC420E">
              <w:rPr>
                <w:lang w:val="fr-FR"/>
              </w:rPr>
              <w:tab/>
            </w:r>
            <w:r w:rsidR="00740E7D" w:rsidRPr="00DC420E">
              <w:rPr>
                <w:lang w:val="fr-FR"/>
              </w:rPr>
              <w:t>•</w:t>
            </w:r>
            <w:r w:rsidRPr="00DC420E">
              <w:rPr>
                <w:lang w:val="fr-FR"/>
              </w:rPr>
              <w:tab/>
              <w:t>Localités très dangereuses où soit le personnel est directement visé en raison de son association avec les Nations Unies, soit les locaux des Nations Unies sont visés, mettant de ce fait en danger le personnel</w:t>
            </w:r>
          </w:p>
        </w:tc>
      </w:tr>
      <w:tr w:rsidR="009E5049" w:rsidRPr="00DC420E" w14:paraId="6E6A83E5" w14:textId="77777777" w:rsidTr="002E14B9">
        <w:tc>
          <w:tcPr>
            <w:tcW w:w="1179" w:type="dxa"/>
            <w:shd w:val="clear" w:color="auto" w:fill="auto"/>
            <w:noWrap/>
          </w:tcPr>
          <w:p w14:paraId="688C8CEB"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p>
        </w:tc>
        <w:tc>
          <w:tcPr>
            <w:tcW w:w="6114" w:type="dxa"/>
            <w:shd w:val="clear" w:color="auto" w:fill="auto"/>
            <w:noWrap/>
          </w:tcPr>
          <w:p w14:paraId="7306FED1" w14:textId="77777777" w:rsidR="00B06AB2" w:rsidRPr="00DC420E" w:rsidRDefault="00B06AB2" w:rsidP="00791DA5">
            <w:pPr>
              <w:tabs>
                <w:tab w:val="left" w:pos="144"/>
                <w:tab w:val="left" w:pos="288"/>
                <w:tab w:val="left" w:pos="576"/>
                <w:tab w:val="left" w:pos="864"/>
                <w:tab w:val="left" w:pos="1152"/>
              </w:tabs>
              <w:suppressAutoHyphens/>
              <w:spacing w:before="40" w:after="80"/>
              <w:ind w:left="288" w:right="43" w:hanging="288"/>
              <w:rPr>
                <w:lang w:val="fr-FR"/>
              </w:rPr>
            </w:pPr>
            <w:r w:rsidRPr="00DC420E">
              <w:rPr>
                <w:lang w:val="fr-FR"/>
              </w:rPr>
              <w:tab/>
              <w:t>•</w:t>
            </w:r>
            <w:r w:rsidRPr="00DC420E">
              <w:rPr>
                <w:lang w:val="fr-FR"/>
              </w:rPr>
              <w:tab/>
              <w:t>Localités où sévit la guerre ou un conflit armé actif et où le personnel court un risque élevé de faire partie des pertes et dommages civils indirects</w:t>
            </w:r>
          </w:p>
        </w:tc>
      </w:tr>
      <w:tr w:rsidR="009E5049" w:rsidRPr="00DC420E" w14:paraId="281BAF43" w14:textId="77777777" w:rsidTr="002E14B9">
        <w:tc>
          <w:tcPr>
            <w:tcW w:w="1179" w:type="dxa"/>
            <w:shd w:val="clear" w:color="auto" w:fill="auto"/>
            <w:noWrap/>
          </w:tcPr>
          <w:p w14:paraId="0752DEA8"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r w:rsidRPr="00DC420E">
              <w:rPr>
                <w:lang w:val="fr-FR"/>
              </w:rPr>
              <w:t>8 semaines</w:t>
            </w:r>
          </w:p>
        </w:tc>
        <w:tc>
          <w:tcPr>
            <w:tcW w:w="6114" w:type="dxa"/>
            <w:shd w:val="clear" w:color="auto" w:fill="auto"/>
            <w:noWrap/>
          </w:tcPr>
          <w:p w14:paraId="11348D41" w14:textId="5076A660" w:rsidR="00B06AB2" w:rsidRPr="00DC420E" w:rsidRDefault="00B06AB2" w:rsidP="007D7217">
            <w:pPr>
              <w:tabs>
                <w:tab w:val="left" w:pos="288"/>
                <w:tab w:val="left" w:pos="576"/>
                <w:tab w:val="left" w:pos="864"/>
                <w:tab w:val="left" w:pos="1152"/>
              </w:tabs>
              <w:suppressAutoHyphens/>
              <w:spacing w:before="40" w:after="80"/>
              <w:ind w:left="144" w:right="43"/>
              <w:rPr>
                <w:lang w:val="fr-FR"/>
              </w:rPr>
            </w:pPr>
            <w:r w:rsidRPr="00DC420E">
              <w:rPr>
                <w:lang w:val="fr-FR"/>
              </w:rPr>
              <w:t>Tous les lieux d</w:t>
            </w:r>
            <w:r w:rsidR="00021FCB" w:rsidRPr="00DC420E">
              <w:rPr>
                <w:lang w:val="fr-FR"/>
              </w:rPr>
              <w:t>’</w:t>
            </w:r>
            <w:r w:rsidRPr="00DC420E">
              <w:rPr>
                <w:lang w:val="fr-FR"/>
              </w:rPr>
              <w:t>affectation famille non autorisée ou assortis de restrictions</w:t>
            </w:r>
            <w:r w:rsidR="007D7217" w:rsidRPr="00DC420E">
              <w:rPr>
                <w:lang w:val="fr-FR"/>
              </w:rPr>
              <w:t> :</w:t>
            </w:r>
          </w:p>
        </w:tc>
      </w:tr>
      <w:tr w:rsidR="009E5049" w:rsidRPr="00DC420E" w14:paraId="6420240A" w14:textId="77777777" w:rsidTr="002E14B9">
        <w:tc>
          <w:tcPr>
            <w:tcW w:w="1179" w:type="dxa"/>
            <w:shd w:val="clear" w:color="auto" w:fill="auto"/>
            <w:noWrap/>
          </w:tcPr>
          <w:p w14:paraId="491F5D1B"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p>
        </w:tc>
        <w:tc>
          <w:tcPr>
            <w:tcW w:w="6114" w:type="dxa"/>
            <w:shd w:val="clear" w:color="auto" w:fill="auto"/>
            <w:noWrap/>
          </w:tcPr>
          <w:p w14:paraId="53439E63" w14:textId="72D98923" w:rsidR="00B06AB2" w:rsidRPr="00DC420E" w:rsidRDefault="00B06AB2" w:rsidP="00791DA5">
            <w:pPr>
              <w:tabs>
                <w:tab w:val="left" w:pos="144"/>
                <w:tab w:val="left" w:pos="288"/>
                <w:tab w:val="left" w:pos="576"/>
                <w:tab w:val="left" w:pos="864"/>
                <w:tab w:val="left" w:pos="1152"/>
              </w:tabs>
              <w:suppressAutoHyphens/>
              <w:spacing w:before="40" w:after="80"/>
              <w:ind w:left="288" w:right="43" w:hanging="288"/>
              <w:rPr>
                <w:lang w:val="fr-FR"/>
              </w:rPr>
            </w:pPr>
            <w:r w:rsidRPr="00DC420E">
              <w:rPr>
                <w:lang w:val="fr-FR"/>
              </w:rPr>
              <w:tab/>
              <w:t>•</w:t>
            </w:r>
            <w:r w:rsidRPr="00DC420E">
              <w:rPr>
                <w:lang w:val="fr-FR"/>
              </w:rPr>
              <w:tab/>
              <w:t>Tous les lieux d</w:t>
            </w:r>
            <w:r w:rsidR="00021FCB" w:rsidRPr="00DC420E">
              <w:rPr>
                <w:lang w:val="fr-FR"/>
              </w:rPr>
              <w:t>’</w:t>
            </w:r>
            <w:r w:rsidRPr="00DC420E">
              <w:rPr>
                <w:lang w:val="fr-FR"/>
              </w:rPr>
              <w:t>affectation pour lesquels le Département de la sûreté et de la sécurité a adopté, pour des raisons de sécurité, des restrictions aux voyages des personnes à la charge des fonctionnaires</w:t>
            </w:r>
          </w:p>
        </w:tc>
      </w:tr>
      <w:tr w:rsidR="009E5049" w:rsidRPr="00DC420E" w14:paraId="6F441F26" w14:textId="77777777" w:rsidTr="002E14B9">
        <w:tc>
          <w:tcPr>
            <w:tcW w:w="1179" w:type="dxa"/>
            <w:shd w:val="clear" w:color="auto" w:fill="auto"/>
            <w:noWrap/>
          </w:tcPr>
          <w:p w14:paraId="401378F0"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p>
        </w:tc>
        <w:tc>
          <w:tcPr>
            <w:tcW w:w="6114" w:type="dxa"/>
            <w:shd w:val="clear" w:color="auto" w:fill="auto"/>
            <w:noWrap/>
          </w:tcPr>
          <w:p w14:paraId="461358D8" w14:textId="32C16F78" w:rsidR="00B06AB2" w:rsidRPr="00DC420E" w:rsidRDefault="00B06AB2" w:rsidP="00791DA5">
            <w:pPr>
              <w:tabs>
                <w:tab w:val="left" w:pos="144"/>
                <w:tab w:val="left" w:pos="288"/>
                <w:tab w:val="left" w:pos="576"/>
                <w:tab w:val="left" w:pos="864"/>
                <w:tab w:val="left" w:pos="1152"/>
              </w:tabs>
              <w:suppressAutoHyphens/>
              <w:spacing w:before="40" w:after="80"/>
              <w:ind w:left="288" w:right="43" w:hanging="288"/>
              <w:rPr>
                <w:lang w:val="fr-FR"/>
              </w:rPr>
            </w:pPr>
            <w:r w:rsidRPr="00DC420E">
              <w:rPr>
                <w:lang w:val="fr-FR"/>
              </w:rPr>
              <w:tab/>
              <w:t>•</w:t>
            </w:r>
            <w:r w:rsidRPr="00DC420E">
              <w:rPr>
                <w:lang w:val="fr-FR"/>
              </w:rPr>
              <w:tab/>
              <w:t>Tous les lieux d</w:t>
            </w:r>
            <w:r w:rsidR="00021FCB" w:rsidRPr="00DC420E">
              <w:rPr>
                <w:lang w:val="fr-FR"/>
              </w:rPr>
              <w:t>’</w:t>
            </w:r>
            <w:r w:rsidRPr="00DC420E">
              <w:rPr>
                <w:lang w:val="fr-FR"/>
              </w:rPr>
              <w:t>affectation désignés «</w:t>
            </w:r>
            <w:r w:rsidR="00791DA5">
              <w:rPr>
                <w:lang w:val="fr-FR"/>
              </w:rPr>
              <w:t> </w:t>
            </w:r>
            <w:r w:rsidRPr="00DC420E">
              <w:rPr>
                <w:lang w:val="fr-FR"/>
              </w:rPr>
              <w:t>famille non autorisée</w:t>
            </w:r>
            <w:r w:rsidR="00791DA5">
              <w:rPr>
                <w:lang w:val="fr-FR"/>
              </w:rPr>
              <w:t> </w:t>
            </w:r>
            <w:r w:rsidRPr="00DC420E">
              <w:rPr>
                <w:lang w:val="fr-FR"/>
              </w:rPr>
              <w:t>» par le Président de la Commission de la fonction publique internationale</w:t>
            </w:r>
          </w:p>
        </w:tc>
      </w:tr>
      <w:tr w:rsidR="009E5049" w:rsidRPr="00DC420E" w14:paraId="5A1C0694" w14:textId="77777777" w:rsidTr="002E14B9">
        <w:tc>
          <w:tcPr>
            <w:tcW w:w="1179" w:type="dxa"/>
            <w:shd w:val="clear" w:color="auto" w:fill="auto"/>
            <w:noWrap/>
          </w:tcPr>
          <w:p w14:paraId="236BD5FD" w14:textId="77777777" w:rsidR="00B06AB2" w:rsidRPr="00DC420E" w:rsidRDefault="00B06AB2" w:rsidP="007D7217">
            <w:pPr>
              <w:tabs>
                <w:tab w:val="left" w:pos="288"/>
                <w:tab w:val="left" w:pos="576"/>
                <w:tab w:val="left" w:pos="864"/>
                <w:tab w:val="left" w:pos="1152"/>
              </w:tabs>
              <w:suppressAutoHyphens/>
              <w:spacing w:before="40" w:after="80"/>
              <w:ind w:right="43"/>
              <w:rPr>
                <w:lang w:val="fr-FR"/>
              </w:rPr>
            </w:pPr>
            <w:r w:rsidRPr="00DC420E">
              <w:rPr>
                <w:lang w:val="fr-FR"/>
              </w:rPr>
              <w:t>12 semaines</w:t>
            </w:r>
          </w:p>
        </w:tc>
        <w:tc>
          <w:tcPr>
            <w:tcW w:w="6114" w:type="dxa"/>
            <w:shd w:val="clear" w:color="auto" w:fill="auto"/>
            <w:noWrap/>
          </w:tcPr>
          <w:p w14:paraId="7AFD1503" w14:textId="5C9EBC5E" w:rsidR="00B06AB2" w:rsidRPr="00DC420E" w:rsidRDefault="00B06AB2" w:rsidP="007D7217">
            <w:pPr>
              <w:tabs>
                <w:tab w:val="left" w:pos="288"/>
                <w:tab w:val="left" w:pos="576"/>
                <w:tab w:val="left" w:pos="864"/>
                <w:tab w:val="left" w:pos="1152"/>
              </w:tabs>
              <w:suppressAutoHyphens/>
              <w:spacing w:before="40" w:after="80"/>
              <w:ind w:left="144" w:right="43"/>
              <w:rPr>
                <w:lang w:val="fr-FR"/>
              </w:rPr>
            </w:pPr>
            <w:r w:rsidRPr="00DC420E">
              <w:rPr>
                <w:lang w:val="fr-FR"/>
              </w:rPr>
              <w:t>Lieux d</w:t>
            </w:r>
            <w:r w:rsidR="00021FCB" w:rsidRPr="00DC420E">
              <w:rPr>
                <w:lang w:val="fr-FR"/>
              </w:rPr>
              <w:t>’</w:t>
            </w:r>
            <w:r w:rsidRPr="00DC420E">
              <w:rPr>
                <w:lang w:val="fr-FR"/>
              </w:rPr>
              <w:t>affectation classés comme particulièrement difficiles</w:t>
            </w:r>
            <w:r w:rsidR="001C2E3A">
              <w:rPr>
                <w:lang w:val="fr-FR"/>
              </w:rPr>
              <w:t> :</w:t>
            </w:r>
          </w:p>
        </w:tc>
      </w:tr>
      <w:tr w:rsidR="008A0387" w:rsidRPr="00DC420E" w14:paraId="6AD7E3F5" w14:textId="77777777" w:rsidTr="002E14B9">
        <w:tc>
          <w:tcPr>
            <w:tcW w:w="1179" w:type="dxa"/>
            <w:shd w:val="clear" w:color="auto" w:fill="auto"/>
            <w:noWrap/>
          </w:tcPr>
          <w:p w14:paraId="00354A97" w14:textId="77777777" w:rsidR="00B06AB2" w:rsidRPr="00DC420E" w:rsidRDefault="00B06AB2" w:rsidP="007D7217">
            <w:pPr>
              <w:tabs>
                <w:tab w:val="left" w:pos="288"/>
                <w:tab w:val="left" w:pos="576"/>
                <w:tab w:val="left" w:pos="864"/>
                <w:tab w:val="left" w:pos="1152"/>
              </w:tabs>
              <w:suppressAutoHyphens/>
              <w:spacing w:before="40" w:after="80"/>
              <w:ind w:right="40"/>
              <w:rPr>
                <w:lang w:val="fr-FR"/>
              </w:rPr>
            </w:pPr>
          </w:p>
        </w:tc>
        <w:tc>
          <w:tcPr>
            <w:tcW w:w="6114" w:type="dxa"/>
            <w:shd w:val="clear" w:color="auto" w:fill="auto"/>
            <w:noWrap/>
          </w:tcPr>
          <w:p w14:paraId="177B28C6" w14:textId="2C6134CA" w:rsidR="00B06AB2" w:rsidRPr="00DC420E" w:rsidRDefault="00B06AB2" w:rsidP="00791DA5">
            <w:pPr>
              <w:tabs>
                <w:tab w:val="left" w:pos="144"/>
                <w:tab w:val="left" w:pos="288"/>
                <w:tab w:val="left" w:pos="576"/>
                <w:tab w:val="left" w:pos="864"/>
                <w:tab w:val="left" w:pos="1152"/>
              </w:tabs>
              <w:suppressAutoHyphens/>
              <w:spacing w:before="40" w:after="80"/>
              <w:ind w:left="288" w:right="43" w:hanging="288"/>
              <w:rPr>
                <w:lang w:val="fr-FR"/>
              </w:rPr>
            </w:pPr>
            <w:r w:rsidRPr="00DC420E">
              <w:rPr>
                <w:lang w:val="fr-FR"/>
              </w:rPr>
              <w:tab/>
              <w:t>•</w:t>
            </w:r>
            <w:r w:rsidRPr="00DC420E">
              <w:rPr>
                <w:lang w:val="fr-FR"/>
              </w:rPr>
              <w:tab/>
              <w:t>Lieux d</w:t>
            </w:r>
            <w:r w:rsidR="00021FCB" w:rsidRPr="00DC420E">
              <w:rPr>
                <w:lang w:val="fr-FR"/>
              </w:rPr>
              <w:t>’</w:t>
            </w:r>
            <w:r w:rsidRPr="00DC420E">
              <w:rPr>
                <w:lang w:val="fr-FR"/>
              </w:rPr>
              <w:t>affectation classés dans les catégories D ou E qui ne sont pas des capitales</w:t>
            </w:r>
          </w:p>
        </w:tc>
      </w:tr>
      <w:tr w:rsidR="008A0387" w:rsidRPr="00DC420E" w14:paraId="3570FFC1" w14:textId="77777777" w:rsidTr="002E14B9">
        <w:tc>
          <w:tcPr>
            <w:tcW w:w="1179" w:type="dxa"/>
            <w:tcBorders>
              <w:bottom w:val="single" w:sz="12" w:space="0" w:color="auto"/>
            </w:tcBorders>
            <w:shd w:val="clear" w:color="auto" w:fill="auto"/>
            <w:noWrap/>
          </w:tcPr>
          <w:p w14:paraId="775126C4" w14:textId="77777777" w:rsidR="00B06AB2" w:rsidRPr="00DC420E" w:rsidRDefault="00B06AB2" w:rsidP="007D7217">
            <w:pPr>
              <w:tabs>
                <w:tab w:val="left" w:pos="288"/>
                <w:tab w:val="left" w:pos="576"/>
                <w:tab w:val="left" w:pos="864"/>
                <w:tab w:val="left" w:pos="1152"/>
              </w:tabs>
              <w:suppressAutoHyphens/>
              <w:spacing w:before="40" w:after="80"/>
              <w:ind w:right="40"/>
              <w:rPr>
                <w:lang w:val="fr-FR"/>
              </w:rPr>
            </w:pPr>
          </w:p>
        </w:tc>
        <w:tc>
          <w:tcPr>
            <w:tcW w:w="6114" w:type="dxa"/>
            <w:tcBorders>
              <w:bottom w:val="single" w:sz="12" w:space="0" w:color="auto"/>
            </w:tcBorders>
            <w:shd w:val="clear" w:color="auto" w:fill="auto"/>
            <w:noWrap/>
          </w:tcPr>
          <w:p w14:paraId="7F492DDA" w14:textId="74994FA1" w:rsidR="00B06AB2" w:rsidRPr="00DC420E" w:rsidRDefault="00B06AB2" w:rsidP="00791DA5">
            <w:pPr>
              <w:tabs>
                <w:tab w:val="left" w:pos="144"/>
                <w:tab w:val="left" w:pos="288"/>
                <w:tab w:val="left" w:pos="576"/>
                <w:tab w:val="left" w:pos="864"/>
                <w:tab w:val="left" w:pos="1152"/>
              </w:tabs>
              <w:suppressAutoHyphens/>
              <w:spacing w:before="40" w:after="80"/>
              <w:ind w:left="288" w:right="43" w:hanging="288"/>
              <w:rPr>
                <w:lang w:val="fr-FR"/>
              </w:rPr>
            </w:pPr>
            <w:r w:rsidRPr="00DC420E">
              <w:rPr>
                <w:lang w:val="fr-FR"/>
              </w:rPr>
              <w:tab/>
              <w:t>•</w:t>
            </w:r>
            <w:r w:rsidRPr="00DC420E">
              <w:rPr>
                <w:lang w:val="fr-FR"/>
              </w:rPr>
              <w:tab/>
              <w:t>Dans des cas exceptionnels, les capit</w:t>
            </w:r>
            <w:r w:rsidR="00791DA5">
              <w:rPr>
                <w:lang w:val="fr-FR"/>
              </w:rPr>
              <w:t>ales classées dans la catégorie </w:t>
            </w:r>
            <w:r w:rsidRPr="00DC420E">
              <w:rPr>
                <w:lang w:val="fr-FR"/>
              </w:rPr>
              <w:t>E</w:t>
            </w:r>
          </w:p>
        </w:tc>
      </w:tr>
    </w:tbl>
    <w:p w14:paraId="7E42563D" w14:textId="6B6F68D1" w:rsidR="00B06AB2" w:rsidRPr="00DC420E" w:rsidRDefault="00B06AB2" w:rsidP="007D7217">
      <w:pPr>
        <w:pStyle w:val="SingleTxt"/>
        <w:spacing w:after="0" w:line="120" w:lineRule="exact"/>
        <w:rPr>
          <w:sz w:val="10"/>
          <w:lang w:val="fr-FR"/>
        </w:rPr>
      </w:pPr>
    </w:p>
    <w:p w14:paraId="4C4C87B8" w14:textId="242F42AE" w:rsidR="00B06AB2" w:rsidRDefault="00B06AB2" w:rsidP="002E14B9">
      <w:pPr>
        <w:pStyle w:val="FootnoteText"/>
        <w:tabs>
          <w:tab w:val="right" w:pos="1476"/>
          <w:tab w:val="left" w:pos="1548"/>
          <w:tab w:val="right" w:pos="1836"/>
          <w:tab w:val="left" w:pos="1908"/>
        </w:tabs>
        <w:ind w:left="1548" w:right="1267" w:hanging="288"/>
        <w:rPr>
          <w:lang w:val="fr-FR"/>
        </w:rPr>
      </w:pPr>
      <w:r w:rsidRPr="00DC420E">
        <w:rPr>
          <w:noProof/>
          <w:lang w:val="fr-FR"/>
        </w:rPr>
        <mc:AlternateContent>
          <mc:Choice Requires="wps">
            <w:drawing>
              <wp:anchor distT="0" distB="0" distL="114300" distR="114300" simplePos="0" relativeHeight="251659264" behindDoc="0" locked="0" layoutInCell="1" allowOverlap="1" wp14:anchorId="2EFF7211" wp14:editId="18C7AFF3">
                <wp:simplePos x="0" y="0"/>
                <wp:positionH relativeFrom="column">
                  <wp:posOffset>2654300</wp:posOffset>
                </wp:positionH>
                <wp:positionV relativeFrom="paragraph">
                  <wp:posOffset>984885</wp:posOffset>
                </wp:positionV>
                <wp:extent cx="914400" cy="0"/>
                <wp:effectExtent l="12700" t="10795" r="6350"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E13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pt,77.55pt" to="281pt,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" strokeweight=".25pt"/>
            </w:pict>
          </mc:Fallback>
        </mc:AlternateContent>
      </w:r>
      <w:r w:rsidRPr="00DC420E">
        <w:rPr>
          <w:lang w:val="fr-FR"/>
        </w:rPr>
        <w:tab/>
      </w:r>
      <w:r w:rsidR="00740E7D" w:rsidRPr="00DC420E">
        <w:rPr>
          <w:i/>
          <w:iCs/>
          <w:vertAlign w:val="superscript"/>
          <w:lang w:val="fr-FR"/>
        </w:rPr>
        <w:t>a</w:t>
      </w:r>
      <w:r w:rsidRPr="00DC420E">
        <w:rPr>
          <w:lang w:val="fr-FR"/>
        </w:rPr>
        <w:tab/>
        <w:t>Dans des cas exceptionnels, le Président de la Commission de la fonction publique internationale, agissant en vertu des pouvoirs qui lui sont délégués par la Commission, peut, sur recommandation du Réseau Ressources humaines du Conseil des chefs de secrétariat des organismes des Nations Unies pour la coordination, autoriser un congé de détente d</w:t>
      </w:r>
      <w:r w:rsidR="00021FCB" w:rsidRPr="00DC420E">
        <w:rPr>
          <w:lang w:val="fr-FR"/>
        </w:rPr>
        <w:t>’</w:t>
      </w:r>
      <w:r w:rsidRPr="00DC420E">
        <w:rPr>
          <w:lang w:val="fr-FR"/>
        </w:rPr>
        <w:t>une périodicité de quatre semaines.</w:t>
      </w:r>
    </w:p>
    <w:p w14:paraId="260D7D2C" w14:textId="77777777" w:rsidR="00B06AB2" w:rsidRPr="00DC420E" w:rsidRDefault="00B06AB2" w:rsidP="002E14B9">
      <w:pPr>
        <w:pStyle w:val="SingleTxt"/>
        <w:rPr>
          <w:lang w:val="fr-FR"/>
        </w:rPr>
      </w:pPr>
    </w:p>
    <w:sectPr w:rsidR="00B06AB2" w:rsidRPr="00DC420E" w:rsidSect="00B06AB2">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6A271" w14:textId="77777777" w:rsidR="00602226" w:rsidRDefault="00602226" w:rsidP="00101B18">
      <w:pPr>
        <w:spacing w:line="240" w:lineRule="auto"/>
      </w:pPr>
      <w:r>
        <w:separator/>
      </w:r>
    </w:p>
  </w:endnote>
  <w:endnote w:type="continuationSeparator" w:id="0">
    <w:p w14:paraId="25E4AC4A" w14:textId="77777777" w:rsidR="00602226" w:rsidRDefault="0060222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16FD" w14:paraId="516658C8" w14:textId="77777777" w:rsidTr="00C709C4">
      <w:tc>
        <w:tcPr>
          <w:tcW w:w="4920" w:type="dxa"/>
          <w:shd w:val="clear" w:color="auto" w:fill="auto"/>
        </w:tcPr>
        <w:p w14:paraId="1BD64541" w14:textId="14D34A4D" w:rsidR="000116FD" w:rsidRPr="00C709C4" w:rsidRDefault="000116FD" w:rsidP="00C709C4">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24BB">
            <w:rPr>
              <w:b w:val="0"/>
              <w:w w:val="103"/>
              <w:sz w:val="14"/>
            </w:rPr>
            <w:t>18-18687</w:t>
          </w:r>
          <w:r>
            <w:rPr>
              <w:b w:val="0"/>
              <w:w w:val="103"/>
              <w:sz w:val="14"/>
            </w:rPr>
            <w:fldChar w:fldCharType="end"/>
          </w:r>
        </w:p>
      </w:tc>
      <w:tc>
        <w:tcPr>
          <w:tcW w:w="4920" w:type="dxa"/>
          <w:shd w:val="clear" w:color="auto" w:fill="auto"/>
        </w:tcPr>
        <w:p w14:paraId="062B97AC" w14:textId="77777777" w:rsidR="000116FD" w:rsidRPr="00C709C4" w:rsidRDefault="000116FD" w:rsidP="00C709C4">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E68CC71" w14:textId="77777777" w:rsidR="000116FD" w:rsidRPr="00C709C4" w:rsidRDefault="000116FD" w:rsidP="00C709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0116FD" w14:paraId="011378DA" w14:textId="77777777" w:rsidTr="00C709C4">
      <w:tc>
        <w:tcPr>
          <w:tcW w:w="4920" w:type="dxa"/>
          <w:shd w:val="clear" w:color="auto" w:fill="auto"/>
        </w:tcPr>
        <w:p w14:paraId="16830EC0" w14:textId="77777777" w:rsidR="000116FD" w:rsidRPr="00C709C4" w:rsidRDefault="000116FD" w:rsidP="00C709C4">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c>
        <w:tcPr>
          <w:tcW w:w="4920" w:type="dxa"/>
          <w:shd w:val="clear" w:color="auto" w:fill="auto"/>
        </w:tcPr>
        <w:p w14:paraId="3CD98D6E" w14:textId="1A8F9B4C" w:rsidR="000116FD" w:rsidRPr="00C709C4" w:rsidRDefault="000116FD" w:rsidP="00C709C4">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824BB">
            <w:rPr>
              <w:b w:val="0"/>
              <w:w w:val="103"/>
              <w:sz w:val="14"/>
            </w:rPr>
            <w:t>18-18687</w:t>
          </w:r>
          <w:r>
            <w:rPr>
              <w:b w:val="0"/>
              <w:w w:val="103"/>
              <w:sz w:val="14"/>
            </w:rPr>
            <w:fldChar w:fldCharType="end"/>
          </w:r>
        </w:p>
      </w:tc>
    </w:tr>
  </w:tbl>
  <w:p w14:paraId="630FE609" w14:textId="77777777" w:rsidR="000116FD" w:rsidRPr="00C709C4" w:rsidRDefault="000116FD" w:rsidP="00C70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5919" w14:textId="77777777" w:rsidR="000116FD" w:rsidRDefault="000116FD">
    <w:pPr>
      <w:pStyle w:val="Footer"/>
    </w:pPr>
    <w:r>
      <w:rPr>
        <w:noProof/>
      </w:rPr>
      <w:drawing>
        <wp:anchor distT="0" distB="0" distL="114300" distR="114300" simplePos="0" relativeHeight="251658240" behindDoc="0" locked="0" layoutInCell="1" allowOverlap="1" wp14:anchorId="3C34154F" wp14:editId="35224E8B">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8/10&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0&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0116FD" w14:paraId="465D8C6F" w14:textId="77777777" w:rsidTr="00C709C4">
      <w:tc>
        <w:tcPr>
          <w:tcW w:w="3758" w:type="dxa"/>
        </w:tcPr>
        <w:p w14:paraId="5263C8AE" w14:textId="0F2D2058" w:rsidR="000116FD" w:rsidRDefault="000116FD" w:rsidP="00C709C4">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824BB">
            <w:rPr>
              <w:b w:val="0"/>
              <w:sz w:val="20"/>
            </w:rPr>
            <w:t>18-18687 (F)</w:t>
          </w:r>
          <w:r>
            <w:rPr>
              <w:b w:val="0"/>
              <w:sz w:val="20"/>
            </w:rPr>
            <w:fldChar w:fldCharType="end"/>
          </w:r>
          <w:r>
            <w:rPr>
              <w:b w:val="0"/>
              <w:sz w:val="20"/>
            </w:rPr>
            <w:t xml:space="preserve">    091118    091118</w:t>
          </w:r>
        </w:p>
        <w:p w14:paraId="5916A8AE" w14:textId="66485DF4" w:rsidR="000116FD" w:rsidRPr="00C709C4" w:rsidRDefault="000116FD" w:rsidP="00C709C4">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B824BB">
            <w:rPr>
              <w:rFonts w:ascii="Barcode 3 of 9 by request" w:hAnsi="Barcode 3 of 9 by request"/>
              <w:spacing w:val="0"/>
              <w:w w:val="100"/>
              <w:sz w:val="24"/>
            </w:rPr>
            <w:t>*1818687*</w:t>
          </w:r>
          <w:r>
            <w:rPr>
              <w:rFonts w:ascii="Barcode 3 of 9 by request" w:hAnsi="Barcode 3 of 9 by request"/>
              <w:spacing w:val="0"/>
              <w:w w:val="100"/>
              <w:sz w:val="24"/>
            </w:rPr>
            <w:fldChar w:fldCharType="end"/>
          </w:r>
        </w:p>
      </w:tc>
      <w:tc>
        <w:tcPr>
          <w:tcW w:w="4920" w:type="dxa"/>
        </w:tcPr>
        <w:p w14:paraId="55520383" w14:textId="77777777" w:rsidR="000116FD" w:rsidRDefault="000116FD" w:rsidP="00C709C4">
          <w:pPr>
            <w:pStyle w:val="Footer"/>
            <w:spacing w:line="240" w:lineRule="atLeast"/>
            <w:jc w:val="right"/>
            <w:rPr>
              <w:b w:val="0"/>
              <w:sz w:val="20"/>
            </w:rPr>
          </w:pPr>
          <w:r>
            <w:rPr>
              <w:b w:val="0"/>
              <w:noProof/>
              <w:sz w:val="20"/>
            </w:rPr>
            <w:drawing>
              <wp:inline distT="0" distB="0" distL="0" distR="0" wp14:anchorId="002BF1FB" wp14:editId="30EEE89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0DE161FB" w14:textId="77777777" w:rsidR="000116FD" w:rsidRPr="00C709C4" w:rsidRDefault="000116FD" w:rsidP="00C709C4">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DF100" w14:textId="77777777" w:rsidR="00602226" w:rsidRPr="007D7217" w:rsidRDefault="00602226" w:rsidP="007D7217">
      <w:pPr>
        <w:spacing w:after="80" w:line="240" w:lineRule="auto"/>
        <w:ind w:left="792"/>
        <w:rPr>
          <w:b/>
          <w:sz w:val="16"/>
        </w:rPr>
      </w:pPr>
      <w:r w:rsidRPr="007D7217">
        <w:rPr>
          <w:b/>
          <w:sz w:val="16"/>
        </w:rPr>
        <w:t>__________________</w:t>
      </w:r>
    </w:p>
  </w:footnote>
  <w:footnote w:type="continuationSeparator" w:id="0">
    <w:p w14:paraId="70EF4FC2" w14:textId="77777777" w:rsidR="00602226" w:rsidRPr="007D7217" w:rsidRDefault="00602226" w:rsidP="007D7217">
      <w:pPr>
        <w:spacing w:after="80" w:line="240" w:lineRule="auto"/>
        <w:ind w:left="792"/>
        <w:rPr>
          <w:b/>
          <w:sz w:val="16"/>
        </w:rPr>
      </w:pPr>
      <w:r w:rsidRPr="007D7217">
        <w:rPr>
          <w:b/>
          <w:sz w:val="16"/>
        </w:rPr>
        <w:t>__________________</w:t>
      </w:r>
    </w:p>
  </w:footnote>
  <w:footnote w:id="1">
    <w:p w14:paraId="41A71DEA" w14:textId="492F04C1" w:rsidR="000116FD" w:rsidRPr="00034486" w:rsidRDefault="000116FD" w:rsidP="00034486">
      <w:pPr>
        <w:pStyle w:val="FootnoteText"/>
        <w:tabs>
          <w:tab w:val="right" w:pos="1195"/>
          <w:tab w:val="left" w:pos="1267"/>
          <w:tab w:val="left" w:pos="1742"/>
          <w:tab w:val="left" w:pos="2218"/>
          <w:tab w:val="left" w:pos="2693"/>
        </w:tabs>
        <w:ind w:left="1267" w:right="1267" w:hanging="432"/>
        <w:rPr>
          <w:sz w:val="18"/>
          <w:szCs w:val="18"/>
        </w:rPr>
      </w:pPr>
      <w:bookmarkStart w:id="3" w:name="_Hlk529274432"/>
      <w:r w:rsidRPr="00034486">
        <w:rPr>
          <w:lang w:val="fr-FR"/>
        </w:rPr>
        <w:tab/>
      </w:r>
      <w:r w:rsidRPr="00034486">
        <w:rPr>
          <w:rStyle w:val="FootnoteReference"/>
          <w:spacing w:val="4"/>
          <w:sz w:val="18"/>
          <w:szCs w:val="18"/>
          <w:lang w:val="fr-FR"/>
        </w:rPr>
        <w:footnoteRef/>
      </w:r>
      <w:r w:rsidRPr="00034486">
        <w:rPr>
          <w:lang w:val="fr-FR"/>
        </w:rPr>
        <w:tab/>
        <w:t>Un délai de route est accordé pour permettre le voyage entre le lieu d’affectation et la destination désignée pour le congé de détente. Les délais de route sont définis comme étant le temps effectivement consacré au déplacement entre le lieu où le fonctionnaire est en poste et la localité désignée pour le congé de détente, par les moyens les plus rapides et par l’itinéraire le plus direct. Les fonctionnaires peuvent bénéficier du congé de détente à une destination autre que la localité désignée. Quelle que soit la destination choisie, le temps de voyage accordé est celui qui a été approuvé pour les voyages à destination et en provenance du lieu d’affectation et du lieu du congé de détente.</w:t>
      </w:r>
      <w:bookmarkEnd w:id="3"/>
    </w:p>
  </w:footnote>
  <w:footnote w:id="2">
    <w:p w14:paraId="43337BA4" w14:textId="01495547" w:rsidR="00B06AB2" w:rsidRPr="00034486" w:rsidRDefault="00021FCB" w:rsidP="00034486">
      <w:pPr>
        <w:pStyle w:val="FootnoteText"/>
        <w:tabs>
          <w:tab w:val="right" w:pos="1195"/>
          <w:tab w:val="left" w:pos="1267"/>
          <w:tab w:val="left" w:pos="1742"/>
          <w:tab w:val="left" w:pos="2218"/>
          <w:tab w:val="left" w:pos="2693"/>
        </w:tabs>
        <w:ind w:left="1267" w:right="1267" w:hanging="432"/>
      </w:pPr>
      <w:r w:rsidRPr="00034486">
        <w:rPr>
          <w:lang w:val="fr-FR"/>
        </w:rPr>
        <w:tab/>
      </w:r>
      <w:r w:rsidR="00B06AB2" w:rsidRPr="00034486">
        <w:rPr>
          <w:rStyle w:val="FootnoteReference"/>
          <w:spacing w:val="4"/>
          <w:lang w:val="fr-FR"/>
        </w:rPr>
        <w:footnoteRef/>
      </w:r>
      <w:r w:rsidR="00B06AB2" w:rsidRPr="00034486">
        <w:rPr>
          <w:lang w:val="fr-FR"/>
        </w:rPr>
        <w:tab/>
        <w:t>La liste des lieux d</w:t>
      </w:r>
      <w:r w:rsidRPr="00034486">
        <w:rPr>
          <w:lang w:val="fr-FR"/>
        </w:rPr>
        <w:t>’</w:t>
      </w:r>
      <w:r w:rsidR="00B06AB2" w:rsidRPr="00034486">
        <w:rPr>
          <w:lang w:val="fr-FR"/>
        </w:rPr>
        <w:t>affectation ouvrant droit au congé de détente est disponible sur le portail des ressources humaines à l</w:t>
      </w:r>
      <w:r w:rsidRPr="00034486">
        <w:rPr>
          <w:lang w:val="fr-FR"/>
        </w:rPr>
        <w:t>’</w:t>
      </w:r>
      <w:r w:rsidR="00B06AB2" w:rsidRPr="00034486">
        <w:rPr>
          <w:lang w:val="fr-FR"/>
        </w:rPr>
        <w:t xml:space="preserve">adresse </w:t>
      </w:r>
      <w:hyperlink r:id="rId1" w:history="1">
        <w:r w:rsidR="00B06AB2" w:rsidRPr="00034486">
          <w:rPr>
            <w:rStyle w:val="Hyperlink"/>
            <w:lang w:val="fr-FR"/>
          </w:rPr>
          <w:t>https</w:t>
        </w:r>
        <w:r w:rsidR="007D7217" w:rsidRPr="00034486">
          <w:rPr>
            <w:rStyle w:val="Hyperlink"/>
            <w:lang w:val="fr-FR"/>
          </w:rPr>
          <w:t>:</w:t>
        </w:r>
        <w:r w:rsidR="00B06AB2" w:rsidRPr="00034486">
          <w:rPr>
            <w:rStyle w:val="Hyperlink"/>
            <w:lang w:val="fr-FR"/>
          </w:rPr>
          <w:t>//hr.un.org/handbook/</w:t>
        </w:r>
      </w:hyperlink>
      <w:r w:rsidR="00B06AB2" w:rsidRPr="00034486">
        <w:rPr>
          <w:lang w:val="fr-FR"/>
        </w:rPr>
        <w:t xml:space="preserve"> et sur l</w:t>
      </w:r>
      <w:r w:rsidR="008178D1" w:rsidRPr="00034486">
        <w:rPr>
          <w:lang w:val="fr-FR"/>
        </w:rPr>
        <w:t>’</w:t>
      </w:r>
      <w:r w:rsidR="00B06AB2" w:rsidRPr="00034486">
        <w:rPr>
          <w:lang w:val="fr-FR"/>
        </w:rPr>
        <w:t>Intranet de l</w:t>
      </w:r>
      <w:r w:rsidR="008178D1" w:rsidRPr="00034486">
        <w:rPr>
          <w:lang w:val="fr-FR"/>
        </w:rPr>
        <w:t>’</w:t>
      </w:r>
      <w:r w:rsidR="00B06AB2" w:rsidRPr="00034486">
        <w:rPr>
          <w:lang w:val="fr-FR"/>
        </w:rPr>
        <w:t xml:space="preserve">Organisation des Nations Unies </w:t>
      </w:r>
      <w:hyperlink r:id="rId2" w:history="1">
        <w:r w:rsidR="00D40D1D" w:rsidRPr="008431AE">
          <w:rPr>
            <w:rStyle w:val="Hyperlink"/>
            <w:lang w:val="fr-FR"/>
          </w:rPr>
          <w:t>https://iseek.un.org/administrativeissuances</w:t>
        </w:r>
      </w:hyperlink>
      <w:r w:rsidR="00B06AB2" w:rsidRPr="00034486">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16FD" w14:paraId="6AB7EC65" w14:textId="77777777" w:rsidTr="00C709C4">
      <w:trPr>
        <w:trHeight w:hRule="exact" w:val="864"/>
      </w:trPr>
      <w:tc>
        <w:tcPr>
          <w:tcW w:w="4920" w:type="dxa"/>
          <w:shd w:val="clear" w:color="auto" w:fill="auto"/>
          <w:vAlign w:val="bottom"/>
        </w:tcPr>
        <w:p w14:paraId="5978E3BB" w14:textId="45C1E007" w:rsidR="000116FD" w:rsidRPr="00C709C4" w:rsidRDefault="000116FD" w:rsidP="00C709C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24BB">
            <w:rPr>
              <w:b/>
              <w:color w:val="000000"/>
            </w:rPr>
            <w:t>ST/AI/2018/10</w:t>
          </w:r>
          <w:r>
            <w:rPr>
              <w:b/>
              <w:color w:val="000000"/>
            </w:rPr>
            <w:fldChar w:fldCharType="end"/>
          </w:r>
        </w:p>
      </w:tc>
      <w:tc>
        <w:tcPr>
          <w:tcW w:w="4920" w:type="dxa"/>
          <w:shd w:val="clear" w:color="auto" w:fill="auto"/>
          <w:vAlign w:val="bottom"/>
        </w:tcPr>
        <w:p w14:paraId="0DC57220" w14:textId="77777777" w:rsidR="000116FD" w:rsidRDefault="000116FD" w:rsidP="00C709C4">
          <w:pPr>
            <w:pStyle w:val="Header"/>
          </w:pPr>
        </w:p>
      </w:tc>
    </w:tr>
  </w:tbl>
  <w:p w14:paraId="2CF4D66E" w14:textId="77777777" w:rsidR="000116FD" w:rsidRPr="00C709C4" w:rsidRDefault="000116FD" w:rsidP="00C709C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0116FD" w14:paraId="340D59F6" w14:textId="77777777" w:rsidTr="00C709C4">
      <w:trPr>
        <w:trHeight w:hRule="exact" w:val="864"/>
      </w:trPr>
      <w:tc>
        <w:tcPr>
          <w:tcW w:w="4920" w:type="dxa"/>
          <w:shd w:val="clear" w:color="auto" w:fill="auto"/>
          <w:vAlign w:val="bottom"/>
        </w:tcPr>
        <w:p w14:paraId="036CE209" w14:textId="77777777" w:rsidR="000116FD" w:rsidRDefault="000116FD" w:rsidP="00C709C4">
          <w:pPr>
            <w:pStyle w:val="Header"/>
          </w:pPr>
        </w:p>
      </w:tc>
      <w:tc>
        <w:tcPr>
          <w:tcW w:w="4920" w:type="dxa"/>
          <w:shd w:val="clear" w:color="auto" w:fill="auto"/>
          <w:vAlign w:val="bottom"/>
        </w:tcPr>
        <w:p w14:paraId="0328172A" w14:textId="06D3B00E" w:rsidR="000116FD" w:rsidRPr="00C709C4" w:rsidRDefault="000116FD" w:rsidP="00C709C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824BB">
            <w:rPr>
              <w:b/>
              <w:color w:val="000000"/>
            </w:rPr>
            <w:t>ST/AI/2018/10</w:t>
          </w:r>
          <w:r>
            <w:rPr>
              <w:b/>
              <w:color w:val="000000"/>
            </w:rPr>
            <w:fldChar w:fldCharType="end"/>
          </w:r>
        </w:p>
      </w:tc>
    </w:tr>
  </w:tbl>
  <w:p w14:paraId="7F40F294" w14:textId="77777777" w:rsidR="000116FD" w:rsidRPr="00C709C4" w:rsidRDefault="000116FD" w:rsidP="00C709C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0116FD" w14:paraId="424BF436" w14:textId="77777777" w:rsidTr="00C709C4">
      <w:trPr>
        <w:trHeight w:hRule="exact" w:val="864"/>
      </w:trPr>
      <w:tc>
        <w:tcPr>
          <w:tcW w:w="1267" w:type="dxa"/>
          <w:tcBorders>
            <w:bottom w:val="single" w:sz="4" w:space="0" w:color="auto"/>
          </w:tcBorders>
          <w:shd w:val="clear" w:color="auto" w:fill="auto"/>
          <w:vAlign w:val="bottom"/>
        </w:tcPr>
        <w:p w14:paraId="2BBE6DA9" w14:textId="77777777" w:rsidR="000116FD" w:rsidRDefault="000116FD" w:rsidP="00C709C4">
          <w:pPr>
            <w:pStyle w:val="Header"/>
            <w:spacing w:after="120"/>
          </w:pPr>
        </w:p>
      </w:tc>
      <w:tc>
        <w:tcPr>
          <w:tcW w:w="2059" w:type="dxa"/>
          <w:tcBorders>
            <w:bottom w:val="single" w:sz="4" w:space="0" w:color="auto"/>
          </w:tcBorders>
          <w:shd w:val="clear" w:color="auto" w:fill="auto"/>
          <w:vAlign w:val="bottom"/>
        </w:tcPr>
        <w:p w14:paraId="4381AC29" w14:textId="77777777" w:rsidR="000116FD" w:rsidRPr="00C709C4" w:rsidRDefault="000116FD" w:rsidP="00C709C4">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60B66A79" w14:textId="77777777" w:rsidR="000116FD" w:rsidRDefault="000116FD" w:rsidP="00C709C4">
          <w:pPr>
            <w:pStyle w:val="Header"/>
            <w:spacing w:after="120"/>
          </w:pPr>
        </w:p>
      </w:tc>
      <w:tc>
        <w:tcPr>
          <w:tcW w:w="6466" w:type="dxa"/>
          <w:gridSpan w:val="3"/>
          <w:tcBorders>
            <w:bottom w:val="single" w:sz="4" w:space="0" w:color="auto"/>
          </w:tcBorders>
          <w:shd w:val="clear" w:color="auto" w:fill="auto"/>
          <w:vAlign w:val="bottom"/>
        </w:tcPr>
        <w:p w14:paraId="511F8C08" w14:textId="77777777" w:rsidR="000116FD" w:rsidRPr="00C709C4" w:rsidRDefault="000116FD" w:rsidP="00C709C4">
          <w:pPr>
            <w:spacing w:after="80" w:line="240" w:lineRule="auto"/>
            <w:jc w:val="right"/>
            <w:rPr>
              <w:position w:val="-4"/>
            </w:rPr>
          </w:pPr>
          <w:r>
            <w:rPr>
              <w:position w:val="-4"/>
              <w:sz w:val="40"/>
            </w:rPr>
            <w:t>ST</w:t>
          </w:r>
          <w:r>
            <w:rPr>
              <w:position w:val="-4"/>
            </w:rPr>
            <w:t>/AI/2018/10</w:t>
          </w:r>
        </w:p>
      </w:tc>
    </w:tr>
    <w:tr w:rsidR="000116FD" w:rsidRPr="00C709C4" w14:paraId="57E2296D" w14:textId="77777777" w:rsidTr="00C709C4">
      <w:trPr>
        <w:trHeight w:hRule="exact" w:val="2880"/>
      </w:trPr>
      <w:tc>
        <w:tcPr>
          <w:tcW w:w="1267" w:type="dxa"/>
          <w:tcBorders>
            <w:top w:val="single" w:sz="4" w:space="0" w:color="auto"/>
            <w:bottom w:val="single" w:sz="12" w:space="0" w:color="auto"/>
          </w:tcBorders>
          <w:shd w:val="clear" w:color="auto" w:fill="auto"/>
        </w:tcPr>
        <w:p w14:paraId="76E48545" w14:textId="77777777" w:rsidR="000116FD" w:rsidRPr="00C709C4" w:rsidRDefault="000116FD" w:rsidP="00C709C4">
          <w:pPr>
            <w:pStyle w:val="Header"/>
            <w:spacing w:before="120" w:line="240" w:lineRule="auto"/>
            <w:ind w:left="-72"/>
            <w:jc w:val="center"/>
          </w:pPr>
          <w:r>
            <w:t xml:space="preserve">  </w:t>
          </w:r>
          <w:r>
            <w:rPr>
              <w:noProof/>
            </w:rPr>
            <w:drawing>
              <wp:inline distT="0" distB="0" distL="0" distR="0" wp14:anchorId="0DEC5C95" wp14:editId="3FA87242">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7D9971C" w14:textId="77777777" w:rsidR="000116FD" w:rsidRPr="00C709C4" w:rsidRDefault="000116FD" w:rsidP="00C709C4">
          <w:pPr>
            <w:pStyle w:val="XLarge"/>
            <w:spacing w:before="109"/>
          </w:pPr>
          <w:r>
            <w:t>Secrétariat</w:t>
          </w:r>
        </w:p>
      </w:tc>
      <w:tc>
        <w:tcPr>
          <w:tcW w:w="245" w:type="dxa"/>
          <w:tcBorders>
            <w:top w:val="single" w:sz="4" w:space="0" w:color="auto"/>
            <w:bottom w:val="single" w:sz="12" w:space="0" w:color="auto"/>
          </w:tcBorders>
          <w:shd w:val="clear" w:color="auto" w:fill="auto"/>
        </w:tcPr>
        <w:p w14:paraId="3186EE81" w14:textId="77777777" w:rsidR="000116FD" w:rsidRPr="00C709C4" w:rsidRDefault="000116FD" w:rsidP="00C709C4">
          <w:pPr>
            <w:pStyle w:val="Header"/>
            <w:spacing w:before="109"/>
          </w:pPr>
        </w:p>
      </w:tc>
      <w:tc>
        <w:tcPr>
          <w:tcW w:w="3110" w:type="dxa"/>
          <w:tcBorders>
            <w:top w:val="single" w:sz="4" w:space="0" w:color="auto"/>
            <w:bottom w:val="single" w:sz="12" w:space="0" w:color="auto"/>
          </w:tcBorders>
          <w:shd w:val="clear" w:color="auto" w:fill="auto"/>
        </w:tcPr>
        <w:p w14:paraId="2078A2D5" w14:textId="68C0629B" w:rsidR="000116FD" w:rsidRDefault="000116FD" w:rsidP="00C709C4">
          <w:pPr>
            <w:pStyle w:val="Distribution"/>
            <w:rPr>
              <w:color w:val="000000"/>
            </w:rPr>
          </w:pPr>
        </w:p>
        <w:p w14:paraId="3793C022" w14:textId="77777777" w:rsidR="000116FD" w:rsidRPr="0045775A" w:rsidRDefault="000116FD" w:rsidP="0045775A">
          <w:pPr>
            <w:rPr>
              <w:lang w:val="en-US"/>
            </w:rPr>
          </w:pPr>
        </w:p>
        <w:p w14:paraId="7E11806F" w14:textId="77777777" w:rsidR="000116FD" w:rsidRDefault="000116FD" w:rsidP="0045775A">
          <w:pPr>
            <w:pStyle w:val="Publication"/>
            <w:rPr>
              <w:color w:val="000000"/>
            </w:rPr>
          </w:pPr>
          <w:r>
            <w:rPr>
              <w:color w:val="000000"/>
            </w:rPr>
            <w:t xml:space="preserve">5 novembre 2018 </w:t>
          </w:r>
        </w:p>
        <w:p w14:paraId="434AFA10" w14:textId="77777777" w:rsidR="006F08B2" w:rsidRDefault="006F08B2" w:rsidP="006F08B2">
          <w:pPr>
            <w:rPr>
              <w:lang w:val="en-US"/>
            </w:rPr>
          </w:pPr>
        </w:p>
        <w:p w14:paraId="67D9438E" w14:textId="77777777" w:rsidR="006F08B2" w:rsidRDefault="006F08B2" w:rsidP="006F08B2">
          <w:pPr>
            <w:rPr>
              <w:lang w:val="en-US"/>
            </w:rPr>
          </w:pPr>
        </w:p>
        <w:p w14:paraId="171D3E0D" w14:textId="7906BFAE" w:rsidR="006F08B2" w:rsidRPr="006F08B2" w:rsidRDefault="006F08B2" w:rsidP="006F08B2">
          <w:pPr>
            <w:rPr>
              <w:lang w:val="fr-FR"/>
            </w:rPr>
          </w:pPr>
          <w:r w:rsidRPr="00EC037A">
            <w:rPr>
              <w:rFonts w:eastAsia="Calibri"/>
              <w:i/>
              <w:color w:val="0000FF"/>
              <w:szCs w:val="20"/>
              <w:lang w:val="fr-FR"/>
            </w:rPr>
            <w:t>(texte mod</w:t>
          </w:r>
          <w:r>
            <w:rPr>
              <w:rFonts w:eastAsia="Calibri"/>
              <w:i/>
              <w:color w:val="0000FF"/>
              <w:szCs w:val="20"/>
              <w:lang w:val="fr-FR"/>
            </w:rPr>
            <w:t>ifié incluant ST/AI/2016/1/Corr.1 publié le 12 novembre 2018</w:t>
          </w:r>
          <w:bookmarkStart w:id="0" w:name="_GoBack"/>
          <w:bookmarkEnd w:id="0"/>
          <w:r w:rsidRPr="00EC037A">
            <w:rPr>
              <w:rFonts w:eastAsia="Calibri"/>
              <w:i/>
              <w:color w:val="0000FF"/>
              <w:szCs w:val="20"/>
              <w:lang w:val="fr-FR"/>
            </w:rPr>
            <w:t>)</w:t>
          </w:r>
        </w:p>
      </w:tc>
    </w:tr>
  </w:tbl>
  <w:p w14:paraId="1A5C16FD" w14:textId="77777777" w:rsidR="000116FD" w:rsidRPr="006F08B2" w:rsidRDefault="000116FD" w:rsidP="00C709C4">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60D8"/>
    <w:multiLevelType w:val="singleLevel"/>
    <w:tmpl w:val="329E22DE"/>
    <w:lvl w:ilvl="0">
      <w:start w:val="1"/>
      <w:numFmt w:val="decimal"/>
      <w:lvlRestart w:val="0"/>
      <w:lvlText w:val="2.%1."/>
      <w:lvlJc w:val="left"/>
      <w:pPr>
        <w:tabs>
          <w:tab w:val="num" w:pos="1742"/>
        </w:tabs>
        <w:ind w:left="1267" w:firstLine="0"/>
      </w:pPr>
      <w:rPr>
        <w:w w:val="100"/>
      </w:rPr>
    </w:lvl>
  </w:abstractNum>
  <w:abstractNum w:abstractNumId="1" w15:restartNumberingAfterBreak="0">
    <w:nsid w:val="04015290"/>
    <w:multiLevelType w:val="hybridMultilevel"/>
    <w:tmpl w:val="8110A0D4"/>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15:restartNumberingAfterBreak="0">
    <w:nsid w:val="0B1D7D52"/>
    <w:multiLevelType w:val="singleLevel"/>
    <w:tmpl w:val="A1FCD2C2"/>
    <w:lvl w:ilvl="0">
      <w:start w:val="9"/>
      <w:numFmt w:val="decimal"/>
      <w:lvlRestart w:val="0"/>
      <w:lvlText w:val="3.%1"/>
      <w:lvlJc w:val="left"/>
      <w:pPr>
        <w:tabs>
          <w:tab w:val="num" w:pos="1742"/>
        </w:tabs>
        <w:ind w:left="1267" w:firstLine="0"/>
      </w:pPr>
      <w:rPr>
        <w:w w:val="100"/>
      </w:rPr>
    </w:lvl>
  </w:abstractNum>
  <w:abstractNum w:abstractNumId="3" w15:restartNumberingAfterBreak="0">
    <w:nsid w:val="0ED11BCF"/>
    <w:multiLevelType w:val="singleLevel"/>
    <w:tmpl w:val="1A4C4472"/>
    <w:lvl w:ilvl="0">
      <w:start w:val="1"/>
      <w:numFmt w:val="decimal"/>
      <w:lvlRestart w:val="0"/>
      <w:lvlText w:val="%1."/>
      <w:lvlJc w:val="left"/>
      <w:pPr>
        <w:tabs>
          <w:tab w:val="num" w:pos="475"/>
        </w:tabs>
        <w:ind w:left="0" w:firstLine="0"/>
      </w:pPr>
      <w:rPr>
        <w:w w:val="100"/>
      </w:rPr>
    </w:lvl>
  </w:abstractNum>
  <w:abstractNum w:abstractNumId="4" w15:restartNumberingAfterBreak="0">
    <w:nsid w:val="12D06B23"/>
    <w:multiLevelType w:val="multilevel"/>
    <w:tmpl w:val="679E9EC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15:restartNumberingAfterBreak="0">
    <w:nsid w:val="15662FFB"/>
    <w:multiLevelType w:val="singleLevel"/>
    <w:tmpl w:val="F6FE131A"/>
    <w:lvl w:ilvl="0">
      <w:start w:val="1"/>
      <w:numFmt w:val="decimal"/>
      <w:lvlRestart w:val="0"/>
      <w:lvlText w:val="3.%1"/>
      <w:lvlJc w:val="left"/>
      <w:pPr>
        <w:tabs>
          <w:tab w:val="num" w:pos="1742"/>
        </w:tabs>
        <w:ind w:left="1267" w:firstLine="0"/>
      </w:pPr>
      <w:rPr>
        <w:w w:val="100"/>
      </w:rPr>
    </w:lvl>
  </w:abstractNum>
  <w:abstractNum w:abstractNumId="6" w15:restartNumberingAfterBreak="0">
    <w:nsid w:val="165C0D19"/>
    <w:multiLevelType w:val="singleLevel"/>
    <w:tmpl w:val="A1FCD2C2"/>
    <w:lvl w:ilvl="0">
      <w:start w:val="9"/>
      <w:numFmt w:val="decimal"/>
      <w:lvlRestart w:val="0"/>
      <w:lvlText w:val="3.%1"/>
      <w:lvlJc w:val="left"/>
      <w:pPr>
        <w:tabs>
          <w:tab w:val="num" w:pos="1742"/>
        </w:tabs>
        <w:ind w:left="1267" w:firstLine="0"/>
      </w:pPr>
      <w:rPr>
        <w:w w:val="100"/>
      </w:rPr>
    </w:lvl>
  </w:abstractNum>
  <w:abstractNum w:abstractNumId="7" w15:restartNumberingAfterBreak="0">
    <w:nsid w:val="172F270D"/>
    <w:multiLevelType w:val="hybridMultilevel"/>
    <w:tmpl w:val="72AEEE6C"/>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439E5"/>
    <w:multiLevelType w:val="singleLevel"/>
    <w:tmpl w:val="04CEB092"/>
    <w:lvl w:ilvl="0">
      <w:start w:val="3"/>
      <w:numFmt w:val="decimal"/>
      <w:lvlRestart w:val="0"/>
      <w:lvlText w:val="3.%1"/>
      <w:lvlJc w:val="left"/>
      <w:pPr>
        <w:tabs>
          <w:tab w:val="num" w:pos="1742"/>
        </w:tabs>
        <w:ind w:left="1267" w:firstLine="0"/>
      </w:pPr>
      <w:rPr>
        <w:w w:val="100"/>
      </w:rPr>
    </w:lvl>
  </w:abstractNum>
  <w:abstractNum w:abstractNumId="9" w15:restartNumberingAfterBreak="0">
    <w:nsid w:val="223A3849"/>
    <w:multiLevelType w:val="singleLevel"/>
    <w:tmpl w:val="F6FE131A"/>
    <w:lvl w:ilvl="0">
      <w:start w:val="1"/>
      <w:numFmt w:val="decimal"/>
      <w:lvlRestart w:val="0"/>
      <w:lvlText w:val="3.%1"/>
      <w:lvlJc w:val="left"/>
      <w:pPr>
        <w:tabs>
          <w:tab w:val="num" w:pos="1742"/>
        </w:tabs>
        <w:ind w:left="1267" w:firstLine="0"/>
      </w:pPr>
      <w:rPr>
        <w:w w:val="100"/>
      </w:rPr>
    </w:lvl>
  </w:abstractNum>
  <w:abstractNum w:abstractNumId="10" w15:restartNumberingAfterBreak="0">
    <w:nsid w:val="230524CD"/>
    <w:multiLevelType w:val="singleLevel"/>
    <w:tmpl w:val="33C6C1A8"/>
    <w:lvl w:ilvl="0">
      <w:start w:val="5"/>
      <w:numFmt w:val="decimal"/>
      <w:lvlRestart w:val="0"/>
      <w:lvlText w:val="3.%1"/>
      <w:lvlJc w:val="left"/>
      <w:pPr>
        <w:tabs>
          <w:tab w:val="num" w:pos="1742"/>
        </w:tabs>
        <w:ind w:left="1267" w:firstLine="0"/>
      </w:pPr>
      <w:rPr>
        <w:w w:val="100"/>
      </w:rPr>
    </w:lvl>
  </w:abstractNum>
  <w:abstractNum w:abstractNumId="11" w15:restartNumberingAfterBreak="0">
    <w:nsid w:val="26444443"/>
    <w:multiLevelType w:val="multilevel"/>
    <w:tmpl w:val="08F619A2"/>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2" w15:restartNumberingAfterBreak="0">
    <w:nsid w:val="30CE024D"/>
    <w:multiLevelType w:val="singleLevel"/>
    <w:tmpl w:val="0ADE2CC8"/>
    <w:lvl w:ilvl="0">
      <w:start w:val="1"/>
      <w:numFmt w:val="decimal"/>
      <w:lvlRestart w:val="0"/>
      <w:lvlText w:val="5.%1"/>
      <w:lvlJc w:val="left"/>
      <w:pPr>
        <w:tabs>
          <w:tab w:val="num" w:pos="1742"/>
        </w:tabs>
        <w:ind w:left="1267" w:firstLine="0"/>
      </w:pPr>
      <w:rPr>
        <w:w w:val="100"/>
      </w:rPr>
    </w:lvl>
  </w:abstractNum>
  <w:abstractNum w:abstractNumId="13" w15:restartNumberingAfterBreak="0">
    <w:nsid w:val="46BB2A7E"/>
    <w:multiLevelType w:val="singleLevel"/>
    <w:tmpl w:val="04CEB092"/>
    <w:lvl w:ilvl="0">
      <w:start w:val="3"/>
      <w:numFmt w:val="decimal"/>
      <w:lvlRestart w:val="0"/>
      <w:lvlText w:val="3.%1"/>
      <w:lvlJc w:val="left"/>
      <w:pPr>
        <w:tabs>
          <w:tab w:val="num" w:pos="1742"/>
        </w:tabs>
        <w:ind w:left="1267" w:firstLine="0"/>
      </w:pPr>
      <w:rPr>
        <w:w w:val="100"/>
      </w:rPr>
    </w:lvl>
  </w:abstractNum>
  <w:abstractNum w:abstractNumId="14" w15:restartNumberingAfterBreak="0">
    <w:nsid w:val="47B40547"/>
    <w:multiLevelType w:val="hybridMultilevel"/>
    <w:tmpl w:val="4EB4ACC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E2FAB"/>
    <w:multiLevelType w:val="singleLevel"/>
    <w:tmpl w:val="04CEB092"/>
    <w:lvl w:ilvl="0">
      <w:start w:val="3"/>
      <w:numFmt w:val="decimal"/>
      <w:lvlRestart w:val="0"/>
      <w:lvlText w:val="3.%1"/>
      <w:lvlJc w:val="left"/>
      <w:pPr>
        <w:tabs>
          <w:tab w:val="num" w:pos="1742"/>
        </w:tabs>
        <w:ind w:left="1267" w:firstLine="0"/>
      </w:pPr>
      <w:rPr>
        <w:w w:val="100"/>
      </w:rPr>
    </w:lvl>
  </w:abstractNum>
  <w:abstractNum w:abstractNumId="16" w15:restartNumberingAfterBreak="0">
    <w:nsid w:val="5AE37AE3"/>
    <w:multiLevelType w:val="singleLevel"/>
    <w:tmpl w:val="4DF40E22"/>
    <w:lvl w:ilvl="0">
      <w:start w:val="1"/>
      <w:numFmt w:val="decimal"/>
      <w:lvlRestart w:val="0"/>
      <w:lvlText w:val="4.%1"/>
      <w:lvlJc w:val="left"/>
      <w:pPr>
        <w:tabs>
          <w:tab w:val="num" w:pos="1742"/>
        </w:tabs>
        <w:ind w:left="1267" w:firstLine="0"/>
      </w:pPr>
      <w:rPr>
        <w:w w:val="100"/>
      </w:rPr>
    </w:lvl>
  </w:abstractNum>
  <w:abstractNum w:abstractNumId="17" w15:restartNumberingAfterBreak="0">
    <w:nsid w:val="5B853846"/>
    <w:multiLevelType w:val="singleLevel"/>
    <w:tmpl w:val="6144F098"/>
    <w:lvl w:ilvl="0">
      <w:start w:val="1"/>
      <w:numFmt w:val="decimal"/>
      <w:lvlRestart w:val="0"/>
      <w:lvlText w:val="1.%1"/>
      <w:lvlJc w:val="left"/>
      <w:pPr>
        <w:tabs>
          <w:tab w:val="num" w:pos="1742"/>
        </w:tabs>
        <w:ind w:left="1267" w:firstLine="0"/>
      </w:pPr>
      <w:rPr>
        <w:w w:val="100"/>
      </w:rPr>
    </w:lvl>
  </w:abstractNum>
  <w:abstractNum w:abstractNumId="18" w15:restartNumberingAfterBreak="0">
    <w:nsid w:val="6050374B"/>
    <w:multiLevelType w:val="singleLevel"/>
    <w:tmpl w:val="04CEB092"/>
    <w:lvl w:ilvl="0">
      <w:start w:val="3"/>
      <w:numFmt w:val="decimal"/>
      <w:lvlRestart w:val="0"/>
      <w:lvlText w:val="3.%1"/>
      <w:lvlJc w:val="left"/>
      <w:pPr>
        <w:tabs>
          <w:tab w:val="num" w:pos="1742"/>
        </w:tabs>
        <w:ind w:left="1267" w:firstLine="0"/>
      </w:pPr>
      <w:rPr>
        <w:w w:val="100"/>
      </w:rPr>
    </w:lvl>
  </w:abstractNum>
  <w:abstractNum w:abstractNumId="19" w15:restartNumberingAfterBreak="0">
    <w:nsid w:val="63B02645"/>
    <w:multiLevelType w:val="singleLevel"/>
    <w:tmpl w:val="F6FE131A"/>
    <w:lvl w:ilvl="0">
      <w:start w:val="1"/>
      <w:numFmt w:val="decimal"/>
      <w:lvlRestart w:val="0"/>
      <w:lvlText w:val="3.%1"/>
      <w:lvlJc w:val="left"/>
      <w:pPr>
        <w:tabs>
          <w:tab w:val="num" w:pos="1742"/>
        </w:tabs>
        <w:ind w:left="1267" w:firstLine="0"/>
      </w:pPr>
      <w:rPr>
        <w:w w:val="100"/>
      </w:rPr>
    </w:lvl>
  </w:abstractNum>
  <w:abstractNum w:abstractNumId="20" w15:restartNumberingAfterBreak="0">
    <w:nsid w:val="679F0958"/>
    <w:multiLevelType w:val="singleLevel"/>
    <w:tmpl w:val="F6FE131A"/>
    <w:lvl w:ilvl="0">
      <w:start w:val="1"/>
      <w:numFmt w:val="decimal"/>
      <w:lvlRestart w:val="0"/>
      <w:lvlText w:val="3.%1"/>
      <w:lvlJc w:val="left"/>
      <w:pPr>
        <w:tabs>
          <w:tab w:val="num" w:pos="1742"/>
        </w:tabs>
        <w:ind w:left="1267" w:firstLine="0"/>
      </w:pPr>
      <w:rPr>
        <w:w w:val="100"/>
      </w:rPr>
    </w:lvl>
  </w:abstractNum>
  <w:abstractNum w:abstractNumId="21" w15:restartNumberingAfterBreak="0">
    <w:nsid w:val="69787A93"/>
    <w:multiLevelType w:val="singleLevel"/>
    <w:tmpl w:val="A1FCD2C2"/>
    <w:lvl w:ilvl="0">
      <w:start w:val="9"/>
      <w:numFmt w:val="decimal"/>
      <w:lvlRestart w:val="0"/>
      <w:lvlText w:val="3.%1"/>
      <w:lvlJc w:val="left"/>
      <w:pPr>
        <w:tabs>
          <w:tab w:val="num" w:pos="1742"/>
        </w:tabs>
        <w:ind w:left="1267" w:firstLine="0"/>
      </w:pPr>
      <w:rPr>
        <w:w w:val="100"/>
      </w:rPr>
    </w:lvl>
  </w:abstractNum>
  <w:abstractNum w:abstractNumId="22" w15:restartNumberingAfterBreak="0">
    <w:nsid w:val="6D581B65"/>
    <w:multiLevelType w:val="singleLevel"/>
    <w:tmpl w:val="04CEB092"/>
    <w:lvl w:ilvl="0">
      <w:start w:val="3"/>
      <w:numFmt w:val="decimal"/>
      <w:lvlRestart w:val="0"/>
      <w:lvlText w:val="3.%1"/>
      <w:lvlJc w:val="left"/>
      <w:pPr>
        <w:tabs>
          <w:tab w:val="num" w:pos="1742"/>
        </w:tabs>
        <w:ind w:left="1267" w:firstLine="0"/>
      </w:pPr>
      <w:rPr>
        <w:w w:val="100"/>
      </w:rPr>
    </w:lvl>
  </w:abstractNum>
  <w:abstractNum w:abstractNumId="23" w15:restartNumberingAfterBreak="0">
    <w:nsid w:val="70134E24"/>
    <w:multiLevelType w:val="singleLevel"/>
    <w:tmpl w:val="4DF40E22"/>
    <w:lvl w:ilvl="0">
      <w:start w:val="1"/>
      <w:numFmt w:val="decimal"/>
      <w:lvlRestart w:val="0"/>
      <w:lvlText w:val="4.%1"/>
      <w:lvlJc w:val="left"/>
      <w:pPr>
        <w:tabs>
          <w:tab w:val="num" w:pos="1742"/>
        </w:tabs>
        <w:ind w:left="1267" w:firstLine="0"/>
      </w:pPr>
      <w:rPr>
        <w:w w:val="100"/>
      </w:rPr>
    </w:lvl>
  </w:abstractNum>
  <w:abstractNum w:abstractNumId="24" w15:restartNumberingAfterBreak="0">
    <w:nsid w:val="7787560C"/>
    <w:multiLevelType w:val="singleLevel"/>
    <w:tmpl w:val="A1FCD2C2"/>
    <w:lvl w:ilvl="0">
      <w:start w:val="9"/>
      <w:numFmt w:val="decimal"/>
      <w:lvlRestart w:val="0"/>
      <w:lvlText w:val="3.%1"/>
      <w:lvlJc w:val="left"/>
      <w:pPr>
        <w:tabs>
          <w:tab w:val="num" w:pos="1742"/>
        </w:tabs>
        <w:ind w:left="1267" w:firstLine="0"/>
      </w:pPr>
      <w:rPr>
        <w:w w:val="100"/>
      </w:rPr>
    </w:lvl>
  </w:abstractNum>
  <w:abstractNum w:abstractNumId="25" w15:restartNumberingAfterBreak="0">
    <w:nsid w:val="7BED04F5"/>
    <w:multiLevelType w:val="singleLevel"/>
    <w:tmpl w:val="6B58B010"/>
    <w:lvl w:ilvl="0">
      <w:start w:val="1"/>
      <w:numFmt w:val="decimal"/>
      <w:lvlRestart w:val="0"/>
      <w:lvlText w:val="6.%1"/>
      <w:lvlJc w:val="left"/>
      <w:pPr>
        <w:tabs>
          <w:tab w:val="num" w:pos="1742"/>
        </w:tabs>
        <w:ind w:left="1267" w:firstLine="0"/>
      </w:pPr>
      <w:rPr>
        <w:w w:val="100"/>
      </w:rPr>
    </w:lvl>
  </w:abstractNum>
  <w:abstractNum w:abstractNumId="26" w15:restartNumberingAfterBreak="0">
    <w:nsid w:val="7C326849"/>
    <w:multiLevelType w:val="singleLevel"/>
    <w:tmpl w:val="AF18AFF0"/>
    <w:lvl w:ilvl="0">
      <w:start w:val="3"/>
      <w:numFmt w:val="decimal"/>
      <w:lvlRestart w:val="0"/>
      <w:lvlText w:val="3.%1"/>
      <w:lvlJc w:val="left"/>
      <w:pPr>
        <w:tabs>
          <w:tab w:val="num" w:pos="1742"/>
        </w:tabs>
        <w:ind w:left="1267" w:firstLine="0"/>
      </w:pPr>
      <w:rPr>
        <w:w w:val="100"/>
      </w:rPr>
    </w:lvl>
  </w:abstractNum>
  <w:abstractNum w:abstractNumId="27" w15:restartNumberingAfterBreak="0">
    <w:nsid w:val="7F9A7D12"/>
    <w:multiLevelType w:val="singleLevel"/>
    <w:tmpl w:val="4DF40E22"/>
    <w:lvl w:ilvl="0">
      <w:start w:val="1"/>
      <w:numFmt w:val="decimal"/>
      <w:lvlRestart w:val="0"/>
      <w:lvlText w:val="4.%1"/>
      <w:lvlJc w:val="left"/>
      <w:pPr>
        <w:tabs>
          <w:tab w:val="num" w:pos="1742"/>
        </w:tabs>
        <w:ind w:left="1267" w:firstLine="0"/>
      </w:pPr>
      <w:rPr>
        <w:w w:val="100"/>
      </w:rPr>
    </w:lvl>
  </w:abstractNum>
  <w:num w:numId="1">
    <w:abstractNumId w:val="7"/>
  </w:num>
  <w:num w:numId="2">
    <w:abstractNumId w:val="14"/>
  </w:num>
  <w:num w:numId="3">
    <w:abstractNumId w:val="1"/>
  </w:num>
  <w:num w:numId="4">
    <w:abstractNumId w:val="4"/>
  </w:num>
  <w:num w:numId="5">
    <w:abstractNumId w:val="7"/>
  </w:num>
  <w:num w:numId="6">
    <w:abstractNumId w:val="14"/>
  </w:num>
  <w:num w:numId="7">
    <w:abstractNumId w:val="1"/>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7"/>
  </w:num>
  <w:num w:numId="18">
    <w:abstractNumId w:val="14"/>
  </w:num>
  <w:num w:numId="19">
    <w:abstractNumId w:val="1"/>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3"/>
  </w:num>
  <w:num w:numId="30">
    <w:abstractNumId w:val="11"/>
  </w:num>
  <w:num w:numId="31">
    <w:abstractNumId w:val="17"/>
  </w:num>
  <w:num w:numId="32">
    <w:abstractNumId w:val="0"/>
  </w:num>
  <w:num w:numId="33">
    <w:abstractNumId w:val="10"/>
  </w:num>
  <w:num w:numId="34">
    <w:abstractNumId w:val="9"/>
  </w:num>
  <w:num w:numId="35">
    <w:abstractNumId w:val="5"/>
  </w:num>
  <w:num w:numId="36">
    <w:abstractNumId w:val="19"/>
  </w:num>
  <w:num w:numId="37">
    <w:abstractNumId w:val="20"/>
  </w:num>
  <w:num w:numId="38">
    <w:abstractNumId w:val="8"/>
  </w:num>
  <w:num w:numId="39">
    <w:abstractNumId w:val="13"/>
  </w:num>
  <w:num w:numId="40">
    <w:abstractNumId w:val="18"/>
  </w:num>
  <w:num w:numId="41">
    <w:abstractNumId w:val="15"/>
  </w:num>
  <w:num w:numId="42">
    <w:abstractNumId w:val="22"/>
  </w:num>
  <w:num w:numId="43">
    <w:abstractNumId w:val="24"/>
  </w:num>
  <w:num w:numId="44">
    <w:abstractNumId w:val="21"/>
  </w:num>
  <w:num w:numId="45">
    <w:abstractNumId w:val="2"/>
  </w:num>
  <w:num w:numId="46">
    <w:abstractNumId w:val="6"/>
  </w:num>
  <w:num w:numId="47">
    <w:abstractNumId w:val="26"/>
  </w:num>
  <w:num w:numId="48">
    <w:abstractNumId w:val="24"/>
    <w:lvlOverride w:ilvl="0">
      <w:lvl w:ilvl="0">
        <w:start w:val="3"/>
        <w:numFmt w:val="decimal"/>
        <w:lvlRestart w:val="0"/>
        <w:lvlText w:val="3.%1"/>
        <w:lvlJc w:val="left"/>
        <w:pPr>
          <w:tabs>
            <w:tab w:val="num" w:pos="1742"/>
          </w:tabs>
          <w:ind w:left="1267" w:firstLine="0"/>
        </w:pPr>
        <w:rPr>
          <w:w w:val="100"/>
        </w:rPr>
      </w:lvl>
    </w:lvlOverride>
  </w:num>
  <w:num w:numId="49">
    <w:abstractNumId w:val="24"/>
    <w:lvlOverride w:ilvl="0">
      <w:lvl w:ilvl="0">
        <w:start w:val="3"/>
        <w:numFmt w:val="decimal"/>
        <w:lvlRestart w:val="0"/>
        <w:lvlText w:val="3.%1"/>
        <w:lvlJc w:val="left"/>
        <w:pPr>
          <w:tabs>
            <w:tab w:val="num" w:pos="1742"/>
          </w:tabs>
          <w:ind w:left="1267" w:firstLine="0"/>
        </w:pPr>
        <w:rPr>
          <w:w w:val="100"/>
        </w:rPr>
      </w:lvl>
    </w:lvlOverride>
  </w:num>
  <w:num w:numId="50">
    <w:abstractNumId w:val="23"/>
  </w:num>
  <w:num w:numId="51">
    <w:abstractNumId w:val="27"/>
  </w:num>
  <w:num w:numId="52">
    <w:abstractNumId w:val="16"/>
  </w:num>
  <w:num w:numId="53">
    <w:abstractNumId w:val="12"/>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818687*"/>
    <w:docVar w:name="CreationDt" w:val="09/11/2018 9:14: AM"/>
    <w:docVar w:name="DocCategory" w:val="Doc"/>
    <w:docVar w:name="DocType" w:val="Final"/>
    <w:docVar w:name="DutyStation" w:val="New York"/>
    <w:docVar w:name="FooterJN" w:val="18-18687"/>
    <w:docVar w:name="jobn" w:val="18-18687 (F)"/>
    <w:docVar w:name="jobnDT" w:val="18-18687 (F)   091118"/>
    <w:docVar w:name="jobnDTDT" w:val="18-18687 (F)   091118   091118"/>
    <w:docVar w:name="JobNo" w:val="1818687F"/>
    <w:docVar w:name="JobNo2" w:val="1836281F"/>
    <w:docVar w:name="LocalDrive" w:val="0"/>
    <w:docVar w:name="OandT" w:val="LSO"/>
    <w:docVar w:name="sss1" w:val="ST/AI/2018/10"/>
    <w:docVar w:name="sss2" w:val="-"/>
    <w:docVar w:name="Symbol1" w:val="ST/AI/2018/10"/>
    <w:docVar w:name="Symbol2" w:val="-"/>
  </w:docVars>
  <w:rsids>
    <w:rsidRoot w:val="00EB5854"/>
    <w:rsid w:val="00002584"/>
    <w:rsid w:val="000116FD"/>
    <w:rsid w:val="00013FED"/>
    <w:rsid w:val="00021FCB"/>
    <w:rsid w:val="00034486"/>
    <w:rsid w:val="00071D43"/>
    <w:rsid w:val="00076E9B"/>
    <w:rsid w:val="00082144"/>
    <w:rsid w:val="000A5954"/>
    <w:rsid w:val="000B2A18"/>
    <w:rsid w:val="000C7B82"/>
    <w:rsid w:val="000E1148"/>
    <w:rsid w:val="000F2D34"/>
    <w:rsid w:val="00101B18"/>
    <w:rsid w:val="001169D9"/>
    <w:rsid w:val="00122A56"/>
    <w:rsid w:val="001266F1"/>
    <w:rsid w:val="00134FEE"/>
    <w:rsid w:val="00146C6A"/>
    <w:rsid w:val="00151BDC"/>
    <w:rsid w:val="00166A0D"/>
    <w:rsid w:val="001B65DD"/>
    <w:rsid w:val="001B672C"/>
    <w:rsid w:val="001C2E3A"/>
    <w:rsid w:val="001E3578"/>
    <w:rsid w:val="001E4B50"/>
    <w:rsid w:val="00201CD2"/>
    <w:rsid w:val="00214421"/>
    <w:rsid w:val="00222402"/>
    <w:rsid w:val="00223697"/>
    <w:rsid w:val="002260F4"/>
    <w:rsid w:val="002478A0"/>
    <w:rsid w:val="00282B1B"/>
    <w:rsid w:val="00282B3B"/>
    <w:rsid w:val="00285A88"/>
    <w:rsid w:val="002976FB"/>
    <w:rsid w:val="002A5E20"/>
    <w:rsid w:val="002D0271"/>
    <w:rsid w:val="002E14B9"/>
    <w:rsid w:val="002E241F"/>
    <w:rsid w:val="00306E2C"/>
    <w:rsid w:val="003077A9"/>
    <w:rsid w:val="00313EAB"/>
    <w:rsid w:val="003275B2"/>
    <w:rsid w:val="00360453"/>
    <w:rsid w:val="00366D21"/>
    <w:rsid w:val="0037005E"/>
    <w:rsid w:val="00372A45"/>
    <w:rsid w:val="00380E13"/>
    <w:rsid w:val="003A2FEA"/>
    <w:rsid w:val="003A53EA"/>
    <w:rsid w:val="003A675A"/>
    <w:rsid w:val="003B125C"/>
    <w:rsid w:val="003E51D1"/>
    <w:rsid w:val="003F61E1"/>
    <w:rsid w:val="00415BF9"/>
    <w:rsid w:val="004339DD"/>
    <w:rsid w:val="00440C93"/>
    <w:rsid w:val="004410DA"/>
    <w:rsid w:val="00445DE0"/>
    <w:rsid w:val="00450C6C"/>
    <w:rsid w:val="0045775A"/>
    <w:rsid w:val="004624FA"/>
    <w:rsid w:val="004670A9"/>
    <w:rsid w:val="00480B84"/>
    <w:rsid w:val="00482AFC"/>
    <w:rsid w:val="004A7C36"/>
    <w:rsid w:val="004B64F9"/>
    <w:rsid w:val="004C1A25"/>
    <w:rsid w:val="004E3833"/>
    <w:rsid w:val="004E4DC1"/>
    <w:rsid w:val="00515991"/>
    <w:rsid w:val="005225EC"/>
    <w:rsid w:val="00525097"/>
    <w:rsid w:val="005509B6"/>
    <w:rsid w:val="0057291D"/>
    <w:rsid w:val="005B4414"/>
    <w:rsid w:val="005C3AC0"/>
    <w:rsid w:val="005E0F9C"/>
    <w:rsid w:val="005F1F5F"/>
    <w:rsid w:val="00602226"/>
    <w:rsid w:val="00611082"/>
    <w:rsid w:val="006123D4"/>
    <w:rsid w:val="0061368A"/>
    <w:rsid w:val="0062226F"/>
    <w:rsid w:val="006222F7"/>
    <w:rsid w:val="0062681C"/>
    <w:rsid w:val="00651C9E"/>
    <w:rsid w:val="00690698"/>
    <w:rsid w:val="006910E7"/>
    <w:rsid w:val="006D0A49"/>
    <w:rsid w:val="006D2BAA"/>
    <w:rsid w:val="006E4A4B"/>
    <w:rsid w:val="006F08B2"/>
    <w:rsid w:val="0071168B"/>
    <w:rsid w:val="0071763F"/>
    <w:rsid w:val="00740E7D"/>
    <w:rsid w:val="007459AE"/>
    <w:rsid w:val="00747EDC"/>
    <w:rsid w:val="007531A5"/>
    <w:rsid w:val="0075569F"/>
    <w:rsid w:val="00771C9E"/>
    <w:rsid w:val="00787C30"/>
    <w:rsid w:val="00791DA5"/>
    <w:rsid w:val="007921C8"/>
    <w:rsid w:val="007B5A38"/>
    <w:rsid w:val="007B5CE5"/>
    <w:rsid w:val="007D7217"/>
    <w:rsid w:val="008178D1"/>
    <w:rsid w:val="0082045E"/>
    <w:rsid w:val="008222A3"/>
    <w:rsid w:val="0083216B"/>
    <w:rsid w:val="008A0387"/>
    <w:rsid w:val="008B6632"/>
    <w:rsid w:val="008C485F"/>
    <w:rsid w:val="008F3462"/>
    <w:rsid w:val="009135B5"/>
    <w:rsid w:val="00934816"/>
    <w:rsid w:val="00935932"/>
    <w:rsid w:val="009430BA"/>
    <w:rsid w:val="00980175"/>
    <w:rsid w:val="00993CB7"/>
    <w:rsid w:val="009A4784"/>
    <w:rsid w:val="009D0EE3"/>
    <w:rsid w:val="009E010E"/>
    <w:rsid w:val="009E29F3"/>
    <w:rsid w:val="009E5049"/>
    <w:rsid w:val="00A0357D"/>
    <w:rsid w:val="00A13976"/>
    <w:rsid w:val="00A2494D"/>
    <w:rsid w:val="00A25FB6"/>
    <w:rsid w:val="00A42597"/>
    <w:rsid w:val="00A536A1"/>
    <w:rsid w:val="00A55BDF"/>
    <w:rsid w:val="00A64D88"/>
    <w:rsid w:val="00A65650"/>
    <w:rsid w:val="00A7514D"/>
    <w:rsid w:val="00AB0B7D"/>
    <w:rsid w:val="00AD5F2F"/>
    <w:rsid w:val="00AE5A84"/>
    <w:rsid w:val="00B06AB2"/>
    <w:rsid w:val="00B27D38"/>
    <w:rsid w:val="00B32BA7"/>
    <w:rsid w:val="00B334E0"/>
    <w:rsid w:val="00B61FD9"/>
    <w:rsid w:val="00B824BB"/>
    <w:rsid w:val="00B858D5"/>
    <w:rsid w:val="00BA1AAF"/>
    <w:rsid w:val="00BE1D2F"/>
    <w:rsid w:val="00BF00A8"/>
    <w:rsid w:val="00C36155"/>
    <w:rsid w:val="00C70242"/>
    <w:rsid w:val="00C709C4"/>
    <w:rsid w:val="00C97F5A"/>
    <w:rsid w:val="00CB06FB"/>
    <w:rsid w:val="00CB5F3D"/>
    <w:rsid w:val="00CB63C5"/>
    <w:rsid w:val="00CF077D"/>
    <w:rsid w:val="00CF699C"/>
    <w:rsid w:val="00D04753"/>
    <w:rsid w:val="00D074ED"/>
    <w:rsid w:val="00D30EED"/>
    <w:rsid w:val="00D40D1D"/>
    <w:rsid w:val="00D44DF1"/>
    <w:rsid w:val="00D81740"/>
    <w:rsid w:val="00D921CF"/>
    <w:rsid w:val="00DC420E"/>
    <w:rsid w:val="00DD3C35"/>
    <w:rsid w:val="00E343A6"/>
    <w:rsid w:val="00E52F8A"/>
    <w:rsid w:val="00E7105F"/>
    <w:rsid w:val="00E7604B"/>
    <w:rsid w:val="00E87CBF"/>
    <w:rsid w:val="00EB5854"/>
    <w:rsid w:val="00EB5C2C"/>
    <w:rsid w:val="00EC5254"/>
    <w:rsid w:val="00EC5B3F"/>
    <w:rsid w:val="00ED094C"/>
    <w:rsid w:val="00EE37EC"/>
    <w:rsid w:val="00EF2DFA"/>
    <w:rsid w:val="00EF2FCA"/>
    <w:rsid w:val="00F160E4"/>
    <w:rsid w:val="00F2201E"/>
    <w:rsid w:val="00F5012D"/>
    <w:rsid w:val="00F569D3"/>
    <w:rsid w:val="00F73093"/>
    <w:rsid w:val="00FA3D05"/>
    <w:rsid w:val="00FA5CC9"/>
    <w:rsid w:val="00FB0A2C"/>
    <w:rsid w:val="00FC59F1"/>
    <w:rsid w:val="00FE34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1B2F"/>
  <w15:chartTrackingRefBased/>
  <w15:docId w15:val="{84B4770C-1AD2-4AEA-83DC-0C1F9472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226F"/>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62226F"/>
    <w:pPr>
      <w:numPr>
        <w:numId w:val="28"/>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62226F"/>
    <w:pPr>
      <w:numPr>
        <w:ilvl w:val="1"/>
        <w:numId w:val="28"/>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62226F"/>
    <w:pPr>
      <w:numPr>
        <w:ilvl w:val="2"/>
        <w:numId w:val="28"/>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62226F"/>
    <w:pPr>
      <w:keepNext/>
      <w:keepLines/>
      <w:numPr>
        <w:ilvl w:val="3"/>
        <w:numId w:val="28"/>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62226F"/>
    <w:pPr>
      <w:keepNext/>
      <w:keepLines/>
      <w:numPr>
        <w:ilvl w:val="4"/>
        <w:numId w:val="28"/>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62226F"/>
    <w:pPr>
      <w:keepNext/>
      <w:keepLines/>
      <w:numPr>
        <w:ilvl w:val="5"/>
        <w:numId w:val="28"/>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62226F"/>
    <w:pPr>
      <w:keepNext/>
      <w:keepLines/>
      <w:numPr>
        <w:ilvl w:val="6"/>
        <w:numId w:val="28"/>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62226F"/>
    <w:pPr>
      <w:keepNext/>
      <w:keepLines/>
      <w:numPr>
        <w:ilvl w:val="7"/>
        <w:numId w:val="28"/>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62226F"/>
    <w:pPr>
      <w:keepNext/>
      <w:keepLines/>
      <w:numPr>
        <w:ilvl w:val="8"/>
        <w:numId w:val="28"/>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62226F"/>
    <w:pPr>
      <w:keepNext/>
      <w:keepLines/>
      <w:suppressAutoHyphens/>
      <w:spacing w:line="270" w:lineRule="exact"/>
      <w:outlineLvl w:val="0"/>
    </w:pPr>
    <w:rPr>
      <w:b/>
      <w:sz w:val="24"/>
    </w:rPr>
  </w:style>
  <w:style w:type="paragraph" w:customStyle="1" w:styleId="HCH">
    <w:name w:val="_ H _CH"/>
    <w:basedOn w:val="H1"/>
    <w:next w:val="SingleTxt"/>
    <w:qFormat/>
    <w:rsid w:val="0062226F"/>
    <w:pPr>
      <w:spacing w:line="300" w:lineRule="exact"/>
    </w:pPr>
    <w:rPr>
      <w:spacing w:val="-2"/>
      <w:sz w:val="28"/>
    </w:rPr>
  </w:style>
  <w:style w:type="paragraph" w:customStyle="1" w:styleId="HM">
    <w:name w:val="_ H __M"/>
    <w:basedOn w:val="HCH"/>
    <w:next w:val="Normal"/>
    <w:qFormat/>
    <w:rsid w:val="0062226F"/>
    <w:pPr>
      <w:spacing w:line="360" w:lineRule="exact"/>
    </w:pPr>
    <w:rPr>
      <w:spacing w:val="-3"/>
      <w:w w:val="99"/>
      <w:sz w:val="34"/>
    </w:rPr>
  </w:style>
  <w:style w:type="paragraph" w:customStyle="1" w:styleId="H23">
    <w:name w:val="_ H_2/3"/>
    <w:basedOn w:val="H1"/>
    <w:next w:val="SingleTxt"/>
    <w:qFormat/>
    <w:rsid w:val="0062226F"/>
    <w:pPr>
      <w:spacing w:line="240" w:lineRule="exact"/>
      <w:outlineLvl w:val="1"/>
    </w:pPr>
    <w:rPr>
      <w:spacing w:val="2"/>
      <w:sz w:val="20"/>
    </w:rPr>
  </w:style>
  <w:style w:type="paragraph" w:customStyle="1" w:styleId="H4">
    <w:name w:val="_ H_4"/>
    <w:basedOn w:val="Normal"/>
    <w:next w:val="SingleTxt"/>
    <w:qFormat/>
    <w:rsid w:val="0062226F"/>
    <w:pPr>
      <w:keepNext/>
      <w:keepLines/>
      <w:tabs>
        <w:tab w:val="right" w:pos="360"/>
      </w:tabs>
      <w:suppressAutoHyphens/>
      <w:outlineLvl w:val="3"/>
    </w:pPr>
    <w:rPr>
      <w:i/>
      <w:spacing w:val="3"/>
    </w:rPr>
  </w:style>
  <w:style w:type="paragraph" w:customStyle="1" w:styleId="H56">
    <w:name w:val="_ H_5/6"/>
    <w:basedOn w:val="Normal"/>
    <w:next w:val="Normal"/>
    <w:qFormat/>
    <w:rsid w:val="0062226F"/>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62226F"/>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62226F"/>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62226F"/>
    <w:pPr>
      <w:spacing w:line="540" w:lineRule="exact"/>
    </w:pPr>
    <w:rPr>
      <w:spacing w:val="-8"/>
      <w:w w:val="96"/>
      <w:sz w:val="57"/>
    </w:rPr>
  </w:style>
  <w:style w:type="paragraph" w:customStyle="1" w:styleId="SS">
    <w:name w:val="__S_S"/>
    <w:basedOn w:val="HCH"/>
    <w:next w:val="Normal"/>
    <w:qFormat/>
    <w:rsid w:val="0062226F"/>
    <w:pPr>
      <w:ind w:left="1267" w:right="1267"/>
    </w:pPr>
  </w:style>
  <w:style w:type="paragraph" w:customStyle="1" w:styleId="SingleTxt">
    <w:name w:val="__Single Txt"/>
    <w:basedOn w:val="Normal"/>
    <w:qFormat/>
    <w:rsid w:val="0062226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62226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62226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62226F"/>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62226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2226F"/>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62226F"/>
    <w:pPr>
      <w:numPr>
        <w:numId w:val="17"/>
      </w:numPr>
      <w:spacing w:after="120"/>
      <w:ind w:right="1267"/>
      <w:jc w:val="both"/>
    </w:pPr>
  </w:style>
  <w:style w:type="paragraph" w:customStyle="1" w:styleId="Bullet2">
    <w:name w:val="Bullet 2"/>
    <w:basedOn w:val="Normal"/>
    <w:qFormat/>
    <w:rsid w:val="0062226F"/>
    <w:pPr>
      <w:numPr>
        <w:numId w:val="18"/>
      </w:numPr>
      <w:spacing w:after="120"/>
      <w:ind w:right="1264"/>
      <w:jc w:val="both"/>
    </w:pPr>
  </w:style>
  <w:style w:type="paragraph" w:customStyle="1" w:styleId="Bullet3">
    <w:name w:val="Bullet 3"/>
    <w:basedOn w:val="SingleTxt"/>
    <w:qFormat/>
    <w:rsid w:val="0062226F"/>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62226F"/>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62226F"/>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62226F"/>
    <w:pPr>
      <w:spacing w:line="210" w:lineRule="exact"/>
    </w:pPr>
    <w:rPr>
      <w:sz w:val="17"/>
      <w:szCs w:val="20"/>
    </w:rPr>
  </w:style>
  <w:style w:type="character" w:customStyle="1" w:styleId="EndnoteTextChar">
    <w:name w:val="Endnote Text Char"/>
    <w:link w:val="EndnoteText"/>
    <w:uiPriority w:val="99"/>
    <w:semiHidden/>
    <w:rsid w:val="0062226F"/>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62226F"/>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62226F"/>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62226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62226F"/>
    <w:pPr>
      <w:spacing w:line="210" w:lineRule="exact"/>
    </w:pPr>
    <w:rPr>
      <w:sz w:val="17"/>
      <w:szCs w:val="20"/>
    </w:rPr>
  </w:style>
  <w:style w:type="character" w:customStyle="1" w:styleId="FootnoteTextChar">
    <w:name w:val="Footnote Text Char"/>
    <w:link w:val="FootnoteText"/>
    <w:uiPriority w:val="99"/>
    <w:rsid w:val="0062226F"/>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62226F"/>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62226F"/>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62226F"/>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62226F"/>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62226F"/>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62226F"/>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62226F"/>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62226F"/>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62226F"/>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62226F"/>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62226F"/>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62226F"/>
    <w:rPr>
      <w:sz w:val="14"/>
    </w:rPr>
  </w:style>
  <w:style w:type="paragraph" w:styleId="ListParagraph">
    <w:name w:val="List Paragraph"/>
    <w:basedOn w:val="Normal"/>
    <w:uiPriority w:val="34"/>
    <w:rsid w:val="0062226F"/>
    <w:pPr>
      <w:ind w:left="720"/>
      <w:contextualSpacing/>
    </w:pPr>
  </w:style>
  <w:style w:type="paragraph" w:styleId="NoSpacing">
    <w:name w:val="No Spacing"/>
    <w:uiPriority w:val="1"/>
    <w:rsid w:val="0062226F"/>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6222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62226F"/>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62226F"/>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62226F"/>
    <w:pPr>
      <w:tabs>
        <w:tab w:val="right" w:pos="9965"/>
      </w:tabs>
      <w:spacing w:line="210" w:lineRule="exact"/>
    </w:pPr>
    <w:rPr>
      <w:spacing w:val="5"/>
      <w:w w:val="104"/>
      <w:sz w:val="17"/>
    </w:rPr>
  </w:style>
  <w:style w:type="paragraph" w:customStyle="1" w:styleId="SmallX">
    <w:name w:val="SmallX"/>
    <w:basedOn w:val="Small"/>
    <w:next w:val="Normal"/>
    <w:qFormat/>
    <w:rsid w:val="0062226F"/>
    <w:pPr>
      <w:spacing w:line="180" w:lineRule="exact"/>
      <w:jc w:val="right"/>
    </w:pPr>
    <w:rPr>
      <w:spacing w:val="6"/>
      <w:w w:val="106"/>
      <w:sz w:val="14"/>
    </w:rPr>
  </w:style>
  <w:style w:type="character" w:styleId="Strong">
    <w:name w:val="Strong"/>
    <w:uiPriority w:val="22"/>
    <w:rsid w:val="0062226F"/>
    <w:rPr>
      <w:b/>
      <w:bCs/>
    </w:rPr>
  </w:style>
  <w:style w:type="paragraph" w:customStyle="1" w:styleId="Style1">
    <w:name w:val="Style1"/>
    <w:basedOn w:val="Normal"/>
    <w:qFormat/>
    <w:rsid w:val="0062226F"/>
  </w:style>
  <w:style w:type="paragraph" w:customStyle="1" w:styleId="Style2">
    <w:name w:val="Style2"/>
    <w:basedOn w:val="Normal"/>
    <w:autoRedefine/>
    <w:qFormat/>
    <w:rsid w:val="0062226F"/>
  </w:style>
  <w:style w:type="paragraph" w:customStyle="1" w:styleId="TitleHCH">
    <w:name w:val="Title_H_CH"/>
    <w:basedOn w:val="H1"/>
    <w:next w:val="Normal"/>
    <w:qFormat/>
    <w:rsid w:val="006222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62226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62226F"/>
    <w:pPr>
      <w:tabs>
        <w:tab w:val="right" w:pos="360"/>
      </w:tabs>
      <w:spacing w:line="390" w:lineRule="exact"/>
    </w:pPr>
    <w:rPr>
      <w:spacing w:val="-4"/>
      <w:w w:val="98"/>
      <w:sz w:val="40"/>
    </w:rPr>
  </w:style>
  <w:style w:type="paragraph" w:customStyle="1" w:styleId="Session">
    <w:name w:val="Session"/>
    <w:basedOn w:val="H23"/>
    <w:qFormat/>
    <w:rsid w:val="002478A0"/>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C709C4"/>
    <w:rPr>
      <w:sz w:val="16"/>
      <w:szCs w:val="16"/>
    </w:rPr>
  </w:style>
  <w:style w:type="paragraph" w:styleId="CommentText">
    <w:name w:val="annotation text"/>
    <w:basedOn w:val="Normal"/>
    <w:link w:val="CommentTextChar"/>
    <w:uiPriority w:val="99"/>
    <w:semiHidden/>
    <w:unhideWhenUsed/>
    <w:rsid w:val="00C709C4"/>
    <w:pPr>
      <w:spacing w:line="240" w:lineRule="auto"/>
    </w:pPr>
    <w:rPr>
      <w:szCs w:val="20"/>
    </w:rPr>
  </w:style>
  <w:style w:type="character" w:customStyle="1" w:styleId="CommentTextChar">
    <w:name w:val="Comment Text Char"/>
    <w:basedOn w:val="DefaultParagraphFont"/>
    <w:link w:val="CommentText"/>
    <w:uiPriority w:val="99"/>
    <w:semiHidden/>
    <w:rsid w:val="00C709C4"/>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C709C4"/>
    <w:rPr>
      <w:b/>
      <w:bCs/>
    </w:rPr>
  </w:style>
  <w:style w:type="character" w:customStyle="1" w:styleId="CommentSubjectChar">
    <w:name w:val="Comment Subject Char"/>
    <w:basedOn w:val="CommentTextChar"/>
    <w:link w:val="CommentSubject"/>
    <w:uiPriority w:val="99"/>
    <w:semiHidden/>
    <w:rsid w:val="00C709C4"/>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6123D4"/>
    <w:rPr>
      <w:color w:val="0000FF" w:themeColor="hyperlink"/>
      <w:u w:val="none"/>
    </w:rPr>
  </w:style>
  <w:style w:type="character" w:styleId="FollowedHyperlink">
    <w:name w:val="FollowedHyperlink"/>
    <w:basedOn w:val="DefaultParagraphFont"/>
    <w:uiPriority w:val="99"/>
    <w:semiHidden/>
    <w:unhideWhenUsed/>
    <w:rsid w:val="006123D4"/>
    <w:rPr>
      <w:color w:val="0000FF"/>
      <w:u w:val="none"/>
    </w:rPr>
  </w:style>
  <w:style w:type="character" w:styleId="UnresolvedMention">
    <w:name w:val="Unresolved Mention"/>
    <w:basedOn w:val="DefaultParagraphFont"/>
    <w:uiPriority w:val="99"/>
    <w:semiHidden/>
    <w:unhideWhenUsed/>
    <w:rsid w:val="006123D4"/>
    <w:rPr>
      <w:color w:val="808080"/>
      <w:shd w:val="clear" w:color="auto" w:fill="E6E6E6"/>
    </w:rPr>
  </w:style>
  <w:style w:type="paragraph" w:styleId="Revision">
    <w:name w:val="Revision"/>
    <w:hidden/>
    <w:uiPriority w:val="99"/>
    <w:semiHidden/>
    <w:rsid w:val="00360453"/>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1/7/Amen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1/7" TargetMode="External"/><Relationship Id="rId2" Type="http://schemas.openxmlformats.org/officeDocument/2006/relationships/numbering" Target="numbering.xml"/><Relationship Id="rId16" Type="http://schemas.openxmlformats.org/officeDocument/2006/relationships/hyperlink" Target="https://undocs.org/fr/A/RES/66/23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A/RES/65/248" TargetMode="External"/><Relationship Id="rId10" Type="http://schemas.openxmlformats.org/officeDocument/2006/relationships/footer" Target="footer1.xml"/><Relationship Id="rId19" Type="http://schemas.openxmlformats.org/officeDocument/2006/relationships/hyperlink" Target="https://undocs.org/fr/ST/AI/2011/7/Amend.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09/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iseek.un.org/administrativeissuances" TargetMode="External"/><Relationship Id="rId1" Type="http://schemas.openxmlformats.org/officeDocument/2006/relationships/hyperlink" Target="https://hr.un.org/handboo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13456-7FE1-4BC5-BDE6-1E838EB0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Soulard</dc:creator>
  <cp:keywords/>
  <dc:description/>
  <cp:lastModifiedBy>Diana Guiu</cp:lastModifiedBy>
  <cp:revision>3</cp:revision>
  <cp:lastPrinted>2018-11-09T16:30:00Z</cp:lastPrinted>
  <dcterms:created xsi:type="dcterms:W3CDTF">2018-12-14T21:07:00Z</dcterms:created>
  <dcterms:modified xsi:type="dcterms:W3CDTF">2018-12-14T21:10:00Z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1818687F</vt:lpwstr>
  </property>
  <property fmtid="{D5CDD505-2E9C-101B-9397-08002B2CF9AE}" pid="3" name="ODSRefJobNo">
    <vt:lpwstr>1836281F</vt:lpwstr>
  </property>
  <property fmtid="{D5CDD505-2E9C-101B-9397-08002B2CF9AE}" pid="4" name="Symbol1">
    <vt:lpwstr>ST/AI/2018/10</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7</vt:lpwstr>
  </property>
  <property fmtid="{D5CDD505-2E9C-101B-9397-08002B2CF9AE}" pid="11" name="Operator">
    <vt:lpwstr>LSO</vt:lpwstr>
  </property>
  <property fmtid="{D5CDD505-2E9C-101B-9397-08002B2CF9AE}" pid="12" name="Release Date">
    <vt:lpwstr/>
  </property>
</Properties>
</file>