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8060" w14:textId="77777777" w:rsidR="002F737E" w:rsidRPr="00D14DF8" w:rsidRDefault="002F737E" w:rsidP="002F737E">
      <w:pPr>
        <w:spacing w:line="240" w:lineRule="auto"/>
        <w:rPr>
          <w:sz w:val="2"/>
          <w:lang w:val="fr-FR"/>
        </w:rPr>
        <w:sectPr w:rsidR="002F737E" w:rsidRPr="00D14DF8" w:rsidSect="0098719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2806DEB6" w14:textId="563D4C40" w:rsidR="00987199" w:rsidRDefault="00987199" w:rsidP="00987199">
      <w:pPr>
        <w:pStyle w:val="TitleHCH"/>
      </w:pPr>
      <w:r>
        <w:tab/>
      </w:r>
      <w:r>
        <w:tab/>
      </w:r>
      <w:r w:rsidRPr="00A7479C">
        <w:t>Circulaire du Secrétaire général</w:t>
      </w:r>
    </w:p>
    <w:p w14:paraId="08A30467" w14:textId="70EC8C07" w:rsidR="00987199" w:rsidRPr="00987199" w:rsidRDefault="00987199" w:rsidP="00987199">
      <w:pPr>
        <w:pStyle w:val="SingleTxt"/>
        <w:spacing w:after="0" w:line="120" w:lineRule="exact"/>
        <w:rPr>
          <w:sz w:val="10"/>
        </w:rPr>
      </w:pPr>
    </w:p>
    <w:p w14:paraId="3DC4D39E" w14:textId="42F71D9B" w:rsidR="00987199" w:rsidRPr="00987199" w:rsidRDefault="00987199" w:rsidP="00987199">
      <w:pPr>
        <w:pStyle w:val="SingleTxt"/>
        <w:spacing w:after="0" w:line="120" w:lineRule="exact"/>
        <w:rPr>
          <w:sz w:val="10"/>
        </w:rPr>
      </w:pPr>
    </w:p>
    <w:p w14:paraId="2A9AC44F" w14:textId="1E60D5BC" w:rsidR="00987199" w:rsidRDefault="00987199" w:rsidP="00987199">
      <w:pPr>
        <w:pStyle w:val="TitleH1"/>
      </w:pPr>
      <w:r>
        <w:tab/>
      </w:r>
      <w:r>
        <w:tab/>
      </w:r>
      <w:r w:rsidRPr="00A7479C">
        <w:t>Supplément au Règlement financier et aux règles de gestion financières de l’Organisation des Nations Unies</w:t>
      </w:r>
    </w:p>
    <w:p w14:paraId="03F449FE" w14:textId="4DC74DB2" w:rsidR="00987199" w:rsidRPr="00987199" w:rsidRDefault="00987199" w:rsidP="00987199">
      <w:pPr>
        <w:pStyle w:val="SingleTxt"/>
        <w:spacing w:after="0" w:line="120" w:lineRule="exact"/>
        <w:rPr>
          <w:sz w:val="10"/>
        </w:rPr>
      </w:pPr>
    </w:p>
    <w:p w14:paraId="71FC76E2" w14:textId="7D69B867" w:rsidR="00987199" w:rsidRPr="00987199" w:rsidRDefault="00987199" w:rsidP="00987199">
      <w:pPr>
        <w:pStyle w:val="SingleTxt"/>
        <w:spacing w:after="0" w:line="120" w:lineRule="exact"/>
        <w:rPr>
          <w:sz w:val="10"/>
        </w:rPr>
      </w:pPr>
    </w:p>
    <w:p w14:paraId="0E69DC86" w14:textId="2811676F" w:rsidR="00987199" w:rsidRDefault="00987199" w:rsidP="00987199">
      <w:pPr>
        <w:pStyle w:val="SingleTxt"/>
        <w:numPr>
          <w:ilvl w:val="0"/>
          <w:numId w:val="41"/>
        </w:numPr>
        <w:spacing w:line="240" w:lineRule="exact"/>
        <w:ind w:left="1267"/>
      </w:pPr>
      <w:r>
        <w:t>Le Secrétaire général promulgue par la présente les amendements au supplément au Règlement financier et aux règles de gestion financière de l’Organisation des Nations Unies qui sont énoncés ci-dessous.</w:t>
      </w:r>
    </w:p>
    <w:p w14:paraId="0E3DC1A5" w14:textId="40333BE8" w:rsidR="00987199" w:rsidRDefault="00987199" w:rsidP="00987199">
      <w:pPr>
        <w:pStyle w:val="SingleTxt"/>
        <w:numPr>
          <w:ilvl w:val="0"/>
          <w:numId w:val="41"/>
        </w:numPr>
        <w:spacing w:line="240" w:lineRule="exact"/>
        <w:ind w:left="1267"/>
      </w:pPr>
      <w:r>
        <w:t xml:space="preserve">Le supplément au Règlement financier et aux </w:t>
      </w:r>
      <w:r w:rsidRPr="00EB5B85">
        <w:t xml:space="preserve">règles de gestion financière </w:t>
      </w:r>
      <w:r>
        <w:t xml:space="preserve">tel que modifié a </w:t>
      </w:r>
      <w:r w:rsidRPr="00822DA4">
        <w:t xml:space="preserve">pour objet de faciliter l’application </w:t>
      </w:r>
      <w:r>
        <w:t>du nouveau dispositif de</w:t>
      </w:r>
      <w:r w:rsidRPr="00822DA4">
        <w:t xml:space="preserve"> délégation de pouvoir</w:t>
      </w:r>
      <w:r>
        <w:t>s</w:t>
      </w:r>
      <w:r w:rsidRPr="00822DA4">
        <w:t xml:space="preserve"> qui entrera en vigueur le 1</w:t>
      </w:r>
      <w:r w:rsidRPr="00822DA4">
        <w:rPr>
          <w:vertAlign w:val="superscript"/>
        </w:rPr>
        <w:t>er</w:t>
      </w:r>
      <w:r w:rsidRPr="00822DA4">
        <w:t xml:space="preserve"> janvier 2019, comme </w:t>
      </w:r>
      <w:r>
        <w:t>indiqu</w:t>
      </w:r>
      <w:r w:rsidRPr="00822DA4">
        <w:t>é dans la circulaire</w:t>
      </w:r>
      <w:r>
        <w:t xml:space="preserve"> </w:t>
      </w:r>
      <w:hyperlink r:id="rId13" w:history="1">
        <w:r w:rsidRPr="00AF036C">
          <w:rPr>
            <w:rStyle w:val="Hyperlink"/>
          </w:rPr>
          <w:t>ST/SGB/2019/2</w:t>
        </w:r>
      </w:hyperlink>
      <w:r>
        <w:t xml:space="preserve"> du Secrétaire général</w:t>
      </w:r>
      <w:r w:rsidRPr="00822DA4">
        <w:t>.</w:t>
      </w:r>
    </w:p>
    <w:p w14:paraId="723A9CEC" w14:textId="4C4C936D" w:rsidR="00987199" w:rsidRDefault="00987199" w:rsidP="00987199">
      <w:pPr>
        <w:pStyle w:val="SingleTxt"/>
        <w:numPr>
          <w:ilvl w:val="0"/>
          <w:numId w:val="41"/>
        </w:numPr>
        <w:spacing w:line="240" w:lineRule="exact"/>
        <w:ind w:left="1267"/>
      </w:pPr>
      <w:r>
        <w:t>Les règles de gestion financière correspondantes qui figuraient</w:t>
      </w:r>
      <w:r w:rsidRPr="00822DA4">
        <w:t xml:space="preserve"> dans la circulaire </w:t>
      </w:r>
      <w:hyperlink r:id="rId14" w:history="1">
        <w:r w:rsidRPr="00AF036C">
          <w:rPr>
            <w:rStyle w:val="Hyperlink"/>
          </w:rPr>
          <w:t>ST/SGB/2015/4</w:t>
        </w:r>
      </w:hyperlink>
      <w:r w:rsidRPr="00822DA4">
        <w:t xml:space="preserve"> </w:t>
      </w:r>
      <w:r>
        <w:t>sont</w:t>
      </w:r>
      <w:r w:rsidRPr="00822DA4">
        <w:t xml:space="preserve"> remplacé</w:t>
      </w:r>
      <w:r>
        <w:t>es</w:t>
      </w:r>
      <w:r w:rsidRPr="00822DA4">
        <w:t xml:space="preserve"> par les dispositions ci-</w:t>
      </w:r>
      <w:r>
        <w:t>dessou</w:t>
      </w:r>
      <w:r w:rsidRPr="00822DA4">
        <w:t xml:space="preserve">s. </w:t>
      </w:r>
      <w:r>
        <w:t xml:space="preserve">Sauf stipulation expresse de la présente circulaire, toutes les autres </w:t>
      </w:r>
      <w:r w:rsidRPr="00EB5B85">
        <w:t xml:space="preserve">règles de gestion financière </w:t>
      </w:r>
      <w:r>
        <w:t xml:space="preserve">énoncées dans </w:t>
      </w:r>
      <w:r w:rsidRPr="00822DA4">
        <w:t xml:space="preserve">la circulaire </w:t>
      </w:r>
      <w:hyperlink r:id="rId15" w:history="1">
        <w:r w:rsidRPr="00AF036C">
          <w:rPr>
            <w:rStyle w:val="Hyperlink"/>
          </w:rPr>
          <w:t>ST/SGB/2015/4</w:t>
        </w:r>
      </w:hyperlink>
      <w:r>
        <w:t xml:space="preserve"> restent en vigueur.</w:t>
      </w:r>
    </w:p>
    <w:p w14:paraId="4DA2FC99" w14:textId="2BFDC70C" w:rsidR="00987199" w:rsidRDefault="00987199" w:rsidP="00987199">
      <w:pPr>
        <w:pStyle w:val="SingleTxt"/>
        <w:numPr>
          <w:ilvl w:val="0"/>
          <w:numId w:val="41"/>
        </w:numPr>
        <w:spacing w:line="240" w:lineRule="exact"/>
        <w:ind w:left="1267"/>
      </w:pPr>
      <w:r>
        <w:t xml:space="preserve">Jusqu’à nouvel ordre, la circulaire </w:t>
      </w:r>
      <w:hyperlink r:id="rId16" w:history="1">
        <w:r w:rsidRPr="00AF036C">
          <w:rPr>
            <w:rStyle w:val="Hyperlink"/>
          </w:rPr>
          <w:t>ST/SGB/2013/4</w:t>
        </w:r>
      </w:hyperlink>
      <w:r>
        <w:t>, telle que modifiée par la circulaire</w:t>
      </w:r>
      <w:r w:rsidRPr="00EE5850">
        <w:t xml:space="preserve"> </w:t>
      </w:r>
      <w:hyperlink r:id="rId17" w:history="1">
        <w:r w:rsidRPr="00AF036C">
          <w:rPr>
            <w:rStyle w:val="Hyperlink"/>
          </w:rPr>
          <w:t>ST/SGB/2013/4/Amend.1</w:t>
        </w:r>
      </w:hyperlink>
      <w:r>
        <w:t xml:space="preserve">, et la circulaire </w:t>
      </w:r>
      <w:hyperlink r:id="rId18" w:history="1">
        <w:r w:rsidRPr="00AF036C">
          <w:rPr>
            <w:rStyle w:val="Hyperlink"/>
          </w:rPr>
          <w:t>ST/SGB/2015/4</w:t>
        </w:r>
      </w:hyperlink>
      <w:r>
        <w:t>, telle que modifiée par la présente circulaire, constituent le Règlement financier et les règles de gestion financière de l’Organisation des Nations Unies et le Supplément y afférent</w:t>
      </w:r>
      <w:r w:rsidRPr="00822DA4">
        <w:t>.</w:t>
      </w:r>
    </w:p>
    <w:p w14:paraId="49BB0DA2" w14:textId="764745F9" w:rsidR="00987199" w:rsidRPr="00987199" w:rsidRDefault="00987199" w:rsidP="00987199">
      <w:pPr>
        <w:pStyle w:val="SingleTxt"/>
        <w:spacing w:after="0" w:line="120" w:lineRule="exact"/>
        <w:rPr>
          <w:sz w:val="10"/>
        </w:rPr>
      </w:pPr>
    </w:p>
    <w:p w14:paraId="27545EAA" w14:textId="6AC06750" w:rsidR="00987199" w:rsidRPr="00987199" w:rsidRDefault="00987199" w:rsidP="00987199">
      <w:pPr>
        <w:pStyle w:val="SingleTxt"/>
        <w:spacing w:after="0" w:line="120" w:lineRule="exact"/>
        <w:rPr>
          <w:sz w:val="10"/>
        </w:rPr>
      </w:pPr>
    </w:p>
    <w:p w14:paraId="62929759" w14:textId="3EE64A2D" w:rsidR="00987199" w:rsidRPr="00987199" w:rsidRDefault="00987199" w:rsidP="009871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lang w:val="fr-FR"/>
        </w:rPr>
        <w:tab/>
      </w:r>
      <w:r w:rsidRPr="00987199">
        <w:rPr>
          <w:lang w:val="fr-FR"/>
        </w:rPr>
        <w:t>Annexe I</w:t>
      </w:r>
    </w:p>
    <w:p w14:paraId="2CC52EB0" w14:textId="23B874DE" w:rsidR="00987199" w:rsidRDefault="00987199" w:rsidP="007944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267"/>
        <w:rPr>
          <w:lang w:val="fr-FR"/>
        </w:rPr>
      </w:pPr>
      <w:r>
        <w:rPr>
          <w:lang w:val="fr-FR"/>
        </w:rPr>
        <w:tab/>
      </w:r>
      <w:r>
        <w:rPr>
          <w:lang w:val="fr-FR"/>
        </w:rPr>
        <w:tab/>
      </w:r>
      <w:r>
        <w:rPr>
          <w:lang w:val="fr-FR"/>
        </w:rPr>
        <w:tab/>
      </w:r>
      <w:r w:rsidRPr="00987199">
        <w:rPr>
          <w:lang w:val="fr-FR"/>
        </w:rPr>
        <w:t>Règles de gestion financière du Fonds pour l’environnement et des fonds d’affectation spéciale connexes du Programme des Nations Unies pour l’environnement</w:t>
      </w:r>
    </w:p>
    <w:p w14:paraId="555D640B" w14:textId="7AD3E969" w:rsidR="00987199" w:rsidRPr="00987199" w:rsidRDefault="00987199" w:rsidP="00987199">
      <w:pPr>
        <w:pStyle w:val="SingleTxt"/>
        <w:spacing w:after="0" w:line="120" w:lineRule="exact"/>
        <w:rPr>
          <w:sz w:val="10"/>
          <w:lang w:val="fr-FR"/>
        </w:rPr>
      </w:pPr>
    </w:p>
    <w:p w14:paraId="2EAE652B" w14:textId="736BFE8E" w:rsidR="00987199" w:rsidRPr="00987199" w:rsidRDefault="00987199" w:rsidP="00987199">
      <w:pPr>
        <w:pStyle w:val="SingleTxt"/>
        <w:spacing w:after="0" w:line="120" w:lineRule="exact"/>
        <w:rPr>
          <w:sz w:val="10"/>
          <w:lang w:val="fr-FR"/>
        </w:rPr>
      </w:pPr>
    </w:p>
    <w:p w14:paraId="55FDDE98" w14:textId="182A8E54" w:rsidR="00987199" w:rsidRDefault="00987199" w:rsidP="009871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Pr>
          <w:lang w:val="fr-FR"/>
        </w:rPr>
        <w:tab/>
      </w:r>
      <w:r w:rsidRPr="00987199">
        <w:rPr>
          <w:lang w:val="fr-FR"/>
        </w:rPr>
        <w:t>Article VII</w:t>
      </w:r>
      <w:r>
        <w:rPr>
          <w:lang w:val="fr-FR"/>
        </w:rPr>
        <w:br/>
      </w:r>
      <w:r>
        <w:rPr>
          <w:bCs/>
          <w:lang w:val="fr-FR"/>
        </w:rPr>
        <w:tab/>
      </w:r>
      <w:r w:rsidRPr="00987199">
        <w:rPr>
          <w:bCs/>
          <w:lang w:val="fr-FR"/>
        </w:rPr>
        <w:t>Rapports et états financiers</w:t>
      </w:r>
    </w:p>
    <w:p w14:paraId="49EEC944" w14:textId="68AC0427" w:rsidR="00987199" w:rsidRPr="00987199" w:rsidRDefault="00987199" w:rsidP="00987199">
      <w:pPr>
        <w:pStyle w:val="SingleTxt"/>
        <w:spacing w:after="0" w:line="120" w:lineRule="exact"/>
        <w:rPr>
          <w:sz w:val="10"/>
          <w:lang w:val="fr-FR"/>
        </w:rPr>
      </w:pPr>
    </w:p>
    <w:p w14:paraId="2A282CD4" w14:textId="624C80A1" w:rsidR="00987199" w:rsidRPr="00987199" w:rsidRDefault="00987199" w:rsidP="00987199">
      <w:pPr>
        <w:pStyle w:val="SingleTxt"/>
        <w:spacing w:after="0" w:line="120" w:lineRule="exact"/>
        <w:rPr>
          <w:sz w:val="10"/>
          <w:lang w:val="fr-FR"/>
        </w:rPr>
      </w:pPr>
    </w:p>
    <w:p w14:paraId="07515393" w14:textId="33A2E04B" w:rsidR="00987199" w:rsidRDefault="00987199" w:rsidP="009871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lang w:val="fr-FR"/>
        </w:rPr>
        <w:tab/>
      </w:r>
      <w:r w:rsidRPr="00987199">
        <w:rPr>
          <w:lang w:val="fr-FR"/>
        </w:rPr>
        <w:t>Règle 207.1</w:t>
      </w:r>
    </w:p>
    <w:p w14:paraId="7ED2B2E8" w14:textId="74266557" w:rsidR="00987199" w:rsidRPr="00987199" w:rsidRDefault="00987199" w:rsidP="00987199">
      <w:pPr>
        <w:pStyle w:val="SingleTxt"/>
        <w:spacing w:after="0" w:line="120" w:lineRule="exact"/>
        <w:rPr>
          <w:sz w:val="10"/>
          <w:lang w:val="fr-FR"/>
        </w:rPr>
      </w:pPr>
    </w:p>
    <w:p w14:paraId="55FFE686" w14:textId="0A83646E" w:rsidR="00987199" w:rsidRPr="00987199" w:rsidRDefault="00987199" w:rsidP="00987199">
      <w:pPr>
        <w:pStyle w:val="SingleTxt"/>
        <w:ind w:left="1742" w:hanging="475"/>
        <w:rPr>
          <w:lang w:val="fr-FR"/>
        </w:rPr>
      </w:pPr>
      <w:r>
        <w:rPr>
          <w:lang w:val="fr-FR"/>
        </w:rPr>
        <w:tab/>
      </w:r>
      <w:r>
        <w:rPr>
          <w:lang w:val="fr-FR"/>
        </w:rPr>
        <w:tab/>
      </w:r>
      <w:r w:rsidRPr="00987199">
        <w:rPr>
          <w:lang w:val="fr-FR"/>
        </w:rPr>
        <w:t>Le Secrétaire général tient les comptes et les livres voulus pour que le Directeur exécutif puisse rendre compte à l’Assemblée des Nations Unies pour l’environnement et à l’Assemblée générale.</w:t>
      </w:r>
    </w:p>
    <w:p w14:paraId="60948AA5" w14:textId="77777777" w:rsidR="00987199" w:rsidRPr="00987199" w:rsidRDefault="00987199" w:rsidP="00987199">
      <w:pPr>
        <w:pStyle w:val="SingleTxt"/>
        <w:spacing w:after="0" w:line="120" w:lineRule="exact"/>
        <w:rPr>
          <w:b/>
          <w:bCs/>
          <w:sz w:val="10"/>
          <w:lang w:val="fr-FR"/>
        </w:rPr>
      </w:pPr>
    </w:p>
    <w:p w14:paraId="553B7E64" w14:textId="6DB098DD" w:rsidR="00987199" w:rsidRDefault="00987199" w:rsidP="00AF036C">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Pr>
          <w:lang w:val="fr-FR"/>
        </w:rPr>
        <w:tab/>
      </w:r>
      <w:r w:rsidRPr="00987199">
        <w:rPr>
          <w:lang w:val="fr-FR"/>
        </w:rPr>
        <w:t>Règle 207.3</w:t>
      </w:r>
    </w:p>
    <w:p w14:paraId="34C2E74F" w14:textId="3430A46B" w:rsidR="00987199" w:rsidRPr="00987199" w:rsidRDefault="00987199" w:rsidP="00AF036C">
      <w:pPr>
        <w:pStyle w:val="SingleTxt"/>
        <w:keepNext/>
        <w:spacing w:after="0" w:line="120" w:lineRule="exact"/>
        <w:rPr>
          <w:sz w:val="10"/>
          <w:lang w:val="fr-FR"/>
        </w:rPr>
      </w:pPr>
    </w:p>
    <w:p w14:paraId="666CA8C1" w14:textId="25E0E6C8" w:rsidR="00987199" w:rsidRDefault="00987199" w:rsidP="00AF036C">
      <w:pPr>
        <w:pStyle w:val="SingleTxt"/>
        <w:keepNext/>
        <w:ind w:left="1742" w:hanging="475"/>
        <w:rPr>
          <w:lang w:val="fr-FR"/>
        </w:rPr>
      </w:pPr>
      <w:r>
        <w:rPr>
          <w:lang w:val="fr-FR"/>
        </w:rPr>
        <w:tab/>
      </w:r>
      <w:r>
        <w:rPr>
          <w:lang w:val="fr-FR"/>
        </w:rPr>
        <w:tab/>
      </w:r>
      <w:r w:rsidRPr="00987199">
        <w:rPr>
          <w:lang w:val="fr-FR"/>
        </w:rPr>
        <w:t>Le Secrétaire général établit et certifie les états financiers du PNUE, dont ceux du Fonds et des fonds d’affectation spéciale connexes, conformément au Règlement financier et aux règles de gestion financière de l’Organisation des Nations Unies. Il soumet ces états financiers au Comité des commissaires aux comptes comme indiqué à l’alinéa a) de la règle de gestion financière 106.1 de l’Organisation.</w:t>
      </w:r>
    </w:p>
    <w:p w14:paraId="400248AB" w14:textId="32AAA2EF" w:rsidR="00987199" w:rsidRPr="00987199" w:rsidRDefault="00987199" w:rsidP="00987199">
      <w:pPr>
        <w:pStyle w:val="SingleTxt"/>
        <w:spacing w:after="0" w:line="120" w:lineRule="exact"/>
        <w:ind w:left="1742" w:hanging="475"/>
        <w:rPr>
          <w:sz w:val="10"/>
          <w:lang w:val="fr-FR"/>
        </w:rPr>
      </w:pPr>
    </w:p>
    <w:p w14:paraId="57398A5B" w14:textId="557DB59A" w:rsidR="00987199" w:rsidRPr="00987199" w:rsidRDefault="00987199" w:rsidP="00987199">
      <w:pPr>
        <w:pStyle w:val="SingleTxt"/>
        <w:spacing w:after="0" w:line="120" w:lineRule="exact"/>
        <w:ind w:left="1742" w:hanging="475"/>
        <w:rPr>
          <w:sz w:val="10"/>
          <w:lang w:val="fr-FR"/>
        </w:rPr>
      </w:pPr>
    </w:p>
    <w:p w14:paraId="29B16745" w14:textId="6CF2BB85" w:rsidR="00987199" w:rsidRPr="00987199" w:rsidRDefault="00987199" w:rsidP="009871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F036C">
        <w:rPr>
          <w:lang w:val="fr-FR"/>
        </w:rPr>
        <w:tab/>
      </w:r>
      <w:r>
        <w:rPr>
          <w:lang w:val="fr-FR"/>
        </w:rPr>
        <w:tab/>
      </w:r>
      <w:r w:rsidRPr="00987199">
        <w:rPr>
          <w:lang w:val="fr-FR"/>
        </w:rPr>
        <w:t>Annexe II</w:t>
      </w:r>
    </w:p>
    <w:p w14:paraId="15D38295" w14:textId="352C6209" w:rsidR="00987199" w:rsidRDefault="00987199" w:rsidP="00C958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00" w:hanging="1742"/>
        <w:rPr>
          <w:lang w:val="fr-FR"/>
        </w:rPr>
      </w:pPr>
      <w:r>
        <w:rPr>
          <w:lang w:val="fr-FR"/>
        </w:rPr>
        <w:tab/>
      </w:r>
      <w:r w:rsidR="00AF036C">
        <w:rPr>
          <w:lang w:val="fr-FR"/>
        </w:rPr>
        <w:tab/>
      </w:r>
      <w:r>
        <w:rPr>
          <w:lang w:val="fr-FR"/>
        </w:rPr>
        <w:tab/>
      </w:r>
      <w:r w:rsidRPr="00987199">
        <w:rPr>
          <w:lang w:val="fr-FR"/>
        </w:rPr>
        <w:t>Articles du Règlement financier de l’Organisation des</w:t>
      </w:r>
      <w:r w:rsidR="00AF036C">
        <w:rPr>
          <w:lang w:val="fr-FR"/>
        </w:rPr>
        <w:t> </w:t>
      </w:r>
      <w:r w:rsidRPr="00987199">
        <w:rPr>
          <w:lang w:val="fr-FR"/>
        </w:rPr>
        <w:t>Nations Unies applicables à la Fondation des</w:t>
      </w:r>
      <w:r w:rsidR="00AF036C">
        <w:rPr>
          <w:lang w:val="fr-FR"/>
        </w:rPr>
        <w:t> </w:t>
      </w:r>
      <w:r w:rsidRPr="00987199">
        <w:rPr>
          <w:lang w:val="fr-FR"/>
        </w:rPr>
        <w:t>Nations</w:t>
      </w:r>
      <w:r w:rsidR="00C958A1">
        <w:rPr>
          <w:lang w:val="fr-FR"/>
        </w:rPr>
        <w:t> </w:t>
      </w:r>
      <w:r w:rsidRPr="00987199">
        <w:rPr>
          <w:lang w:val="fr-FR"/>
        </w:rPr>
        <w:t>Unies pour l’habitat et les établissements humains et règles de</w:t>
      </w:r>
      <w:r>
        <w:rPr>
          <w:lang w:val="fr-FR"/>
        </w:rPr>
        <w:t> </w:t>
      </w:r>
      <w:r w:rsidRPr="00987199">
        <w:rPr>
          <w:lang w:val="fr-FR"/>
        </w:rPr>
        <w:t>gestion financière de la Fondation des Nations Unies pour</w:t>
      </w:r>
      <w:r>
        <w:rPr>
          <w:lang w:val="fr-FR"/>
        </w:rPr>
        <w:t> </w:t>
      </w:r>
      <w:r w:rsidRPr="00987199">
        <w:rPr>
          <w:lang w:val="fr-FR"/>
        </w:rPr>
        <w:t>l’habitat et les établissements humains et des autres ressources extrabudgétaires du</w:t>
      </w:r>
      <w:r w:rsidR="00AF036C">
        <w:rPr>
          <w:lang w:val="fr-FR"/>
        </w:rPr>
        <w:t> </w:t>
      </w:r>
      <w:r w:rsidRPr="00987199">
        <w:rPr>
          <w:lang w:val="fr-FR"/>
        </w:rPr>
        <w:t>Programme des Nations Unies pour les établissements humains (ONU-Habitat)</w:t>
      </w:r>
    </w:p>
    <w:p w14:paraId="107501B4" w14:textId="73CEFD47" w:rsidR="00987199" w:rsidRPr="00987199" w:rsidRDefault="00987199" w:rsidP="00987199">
      <w:pPr>
        <w:pStyle w:val="SingleTxt"/>
        <w:spacing w:after="0" w:line="120" w:lineRule="exact"/>
        <w:rPr>
          <w:sz w:val="10"/>
          <w:lang w:val="fr-FR"/>
        </w:rPr>
      </w:pPr>
    </w:p>
    <w:p w14:paraId="66D7710C" w14:textId="7218B4B2" w:rsidR="00987199" w:rsidRPr="00987199" w:rsidRDefault="00987199" w:rsidP="00987199">
      <w:pPr>
        <w:pStyle w:val="SingleTxt"/>
        <w:spacing w:after="0" w:line="120" w:lineRule="exact"/>
        <w:rPr>
          <w:sz w:val="10"/>
          <w:lang w:val="fr-FR"/>
        </w:rPr>
      </w:pPr>
    </w:p>
    <w:p w14:paraId="74346EFC" w14:textId="0CF92B24" w:rsidR="00987199" w:rsidRDefault="00987199" w:rsidP="009871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sidR="00AF036C">
        <w:rPr>
          <w:lang w:val="fr-FR"/>
        </w:rPr>
        <w:tab/>
      </w:r>
      <w:r>
        <w:rPr>
          <w:lang w:val="fr-FR"/>
        </w:rPr>
        <w:tab/>
      </w:r>
      <w:r w:rsidRPr="00987199">
        <w:rPr>
          <w:lang w:val="fr-FR"/>
        </w:rPr>
        <w:t>Article III</w:t>
      </w:r>
      <w:r>
        <w:rPr>
          <w:lang w:val="fr-FR"/>
        </w:rPr>
        <w:br/>
      </w:r>
      <w:r w:rsidR="00AF036C">
        <w:rPr>
          <w:bCs/>
          <w:lang w:val="fr-FR"/>
        </w:rPr>
        <w:tab/>
      </w:r>
      <w:r w:rsidRPr="00987199">
        <w:rPr>
          <w:bCs/>
          <w:lang w:val="fr-FR"/>
        </w:rPr>
        <w:t>Contributions et autres recettes</w:t>
      </w:r>
    </w:p>
    <w:p w14:paraId="0E624646" w14:textId="6B2EA280" w:rsidR="00987199" w:rsidRPr="00987199" w:rsidRDefault="00987199" w:rsidP="00987199">
      <w:pPr>
        <w:pStyle w:val="SingleTxt"/>
        <w:spacing w:after="0" w:line="120" w:lineRule="exact"/>
        <w:rPr>
          <w:sz w:val="10"/>
          <w:lang w:val="fr-FR"/>
        </w:rPr>
      </w:pPr>
    </w:p>
    <w:p w14:paraId="771CF5BE" w14:textId="2D0C73EF" w:rsidR="00987199" w:rsidRPr="00987199" w:rsidRDefault="00987199" w:rsidP="00987199">
      <w:pPr>
        <w:pStyle w:val="SingleTxt"/>
        <w:spacing w:after="0" w:line="120" w:lineRule="exact"/>
        <w:rPr>
          <w:sz w:val="10"/>
          <w:lang w:val="fr-FR"/>
        </w:rPr>
      </w:pPr>
    </w:p>
    <w:p w14:paraId="1A92A2AD" w14:textId="4DF8ACEA" w:rsidR="00987199" w:rsidRDefault="00987199" w:rsidP="009871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F036C">
        <w:rPr>
          <w:lang w:val="fr-FR"/>
        </w:rPr>
        <w:tab/>
      </w:r>
      <w:r>
        <w:rPr>
          <w:lang w:val="fr-FR"/>
        </w:rPr>
        <w:tab/>
      </w:r>
      <w:r w:rsidRPr="00987199">
        <w:rPr>
          <w:lang w:val="fr-FR"/>
        </w:rPr>
        <w:t>Règle 303.9</w:t>
      </w:r>
    </w:p>
    <w:p w14:paraId="4E2A97ED" w14:textId="53134DD7" w:rsidR="00987199" w:rsidRPr="00987199" w:rsidRDefault="00987199" w:rsidP="00987199">
      <w:pPr>
        <w:pStyle w:val="SingleTxt"/>
        <w:spacing w:after="0" w:line="120" w:lineRule="exact"/>
        <w:rPr>
          <w:sz w:val="10"/>
          <w:lang w:val="fr-FR"/>
        </w:rPr>
      </w:pPr>
    </w:p>
    <w:p w14:paraId="06777455" w14:textId="580E669F" w:rsidR="00987199" w:rsidRPr="00987199" w:rsidRDefault="00AF036C" w:rsidP="00AF036C">
      <w:pPr>
        <w:pStyle w:val="SingleTxt"/>
        <w:ind w:left="1742" w:hanging="475"/>
        <w:rPr>
          <w:lang w:val="fr-FR"/>
        </w:rPr>
      </w:pPr>
      <w:r>
        <w:rPr>
          <w:lang w:val="fr-FR"/>
        </w:rPr>
        <w:tab/>
      </w:r>
      <w:r w:rsidR="00987199">
        <w:rPr>
          <w:lang w:val="fr-FR"/>
        </w:rPr>
        <w:tab/>
      </w:r>
      <w:r w:rsidR="00987199" w:rsidRPr="00C958A1">
        <w:rPr>
          <w:spacing w:val="2"/>
          <w:w w:val="100"/>
          <w:lang w:val="fr-FR"/>
        </w:rPr>
        <w:t>Sous réserve des dispositions ci-après, le Secrétaire général délègue au Directeur exécutif le pouvoir de contracter, conformément à l’article UNHHSF 1.2,</w:t>
      </w:r>
      <w:r w:rsidR="00987199" w:rsidRPr="00C958A1">
        <w:rPr>
          <w:w w:val="100"/>
          <w:lang w:val="fr-FR"/>
        </w:rPr>
        <w:t xml:space="preserve"> des emprunts auprès de gouvernements, d’organismes publics et d’org</w:t>
      </w:r>
      <w:r w:rsidR="00987199" w:rsidRPr="00987199">
        <w:rPr>
          <w:lang w:val="fr-FR"/>
        </w:rPr>
        <w:t>anisations intergouvernementales pour le financement des opérations de prêt de capitaux de départ remboursables de la Fondation.</w:t>
      </w:r>
    </w:p>
    <w:p w14:paraId="2FB69E2C" w14:textId="3B83C4E4" w:rsidR="00987199" w:rsidRPr="00987199" w:rsidRDefault="00987199" w:rsidP="00AF036C">
      <w:pPr>
        <w:pStyle w:val="SingleTxt"/>
        <w:ind w:left="1742" w:hanging="475"/>
        <w:rPr>
          <w:lang w:val="fr-FR"/>
        </w:rPr>
      </w:pPr>
      <w:r>
        <w:rPr>
          <w:lang w:val="fr-FR"/>
        </w:rPr>
        <w:tab/>
      </w:r>
      <w:r w:rsidR="00AF036C">
        <w:rPr>
          <w:lang w:val="fr-FR"/>
        </w:rPr>
        <w:tab/>
      </w:r>
      <w:r w:rsidRPr="00987199">
        <w:rPr>
          <w:lang w:val="fr-FR"/>
        </w:rPr>
        <w:t>a)</w:t>
      </w:r>
      <w:r w:rsidRPr="00987199">
        <w:rPr>
          <w:lang w:val="fr-FR"/>
        </w:rPr>
        <w:tab/>
        <w:t>Le montant plafond des sommes que la Fondation peut emprunter est fixé en tant que de besoin par le Secrétaire général, sur recommandation du Directeur exécutif et avec l’aval du Contrôleur, compte dûment tenu des facteurs suivants :</w:t>
      </w:r>
    </w:p>
    <w:p w14:paraId="0BDEC7CB" w14:textId="5B350EC0" w:rsidR="00987199" w:rsidRPr="00987199" w:rsidRDefault="00987199" w:rsidP="00AF036C">
      <w:pPr>
        <w:pStyle w:val="SingleTxt"/>
        <w:ind w:left="2218" w:hanging="951"/>
        <w:rPr>
          <w:lang w:val="fr-FR"/>
        </w:rPr>
      </w:pPr>
      <w:r>
        <w:rPr>
          <w:lang w:val="fr-FR"/>
        </w:rPr>
        <w:tab/>
      </w:r>
      <w:r w:rsidR="00AF036C">
        <w:rPr>
          <w:lang w:val="fr-FR"/>
        </w:rPr>
        <w:tab/>
      </w:r>
      <w:r w:rsidR="00AF036C">
        <w:rPr>
          <w:lang w:val="fr-FR"/>
        </w:rPr>
        <w:tab/>
      </w:r>
      <w:r w:rsidRPr="00987199">
        <w:rPr>
          <w:lang w:val="fr-FR"/>
        </w:rPr>
        <w:t>i)</w:t>
      </w:r>
      <w:r w:rsidRPr="00987199">
        <w:rPr>
          <w:lang w:val="fr-FR"/>
        </w:rPr>
        <w:tab/>
        <w:t>Le montant des ressources dont la Fondation prévoit d’avoir besoin pour atteindre ses objectifs et le montant des contributions volontaires reçues par elle ;</w:t>
      </w:r>
    </w:p>
    <w:p w14:paraId="7CA366FF" w14:textId="1D83BF2F" w:rsidR="00987199" w:rsidRPr="00987199" w:rsidRDefault="00AF036C" w:rsidP="00AF036C">
      <w:pPr>
        <w:pStyle w:val="SingleTxt"/>
        <w:ind w:left="2218" w:hanging="951"/>
        <w:rPr>
          <w:lang w:val="fr-FR"/>
        </w:rPr>
      </w:pPr>
      <w:r>
        <w:rPr>
          <w:lang w:val="fr-FR"/>
        </w:rPr>
        <w:tab/>
      </w:r>
      <w:r w:rsidR="00987199">
        <w:rPr>
          <w:lang w:val="fr-FR"/>
        </w:rPr>
        <w:tab/>
      </w:r>
      <w:r>
        <w:rPr>
          <w:lang w:val="fr-FR"/>
        </w:rPr>
        <w:tab/>
      </w:r>
      <w:r w:rsidR="00987199" w:rsidRPr="00987199">
        <w:rPr>
          <w:lang w:val="fr-FR"/>
        </w:rPr>
        <w:t>ii)</w:t>
      </w:r>
      <w:r w:rsidR="00987199" w:rsidRPr="00987199">
        <w:rPr>
          <w:lang w:val="fr-FR"/>
        </w:rPr>
        <w:tab/>
        <w:t>L’efficacité avec laquelle la Fondation gère les opérations du Fonds de crédit financées par des contributions volontaires, telle qu’elle ressort des rapports d’évaluation et rapports d’audit établis périodiquement ;</w:t>
      </w:r>
    </w:p>
    <w:p w14:paraId="23B343F1" w14:textId="624A22F9" w:rsidR="00987199" w:rsidRPr="00987199" w:rsidRDefault="00AF036C" w:rsidP="00AF036C">
      <w:pPr>
        <w:pStyle w:val="SingleTxt"/>
        <w:ind w:left="1742" w:hanging="475"/>
        <w:rPr>
          <w:lang w:val="fr-FR"/>
        </w:rPr>
      </w:pPr>
      <w:r>
        <w:rPr>
          <w:lang w:val="fr-FR"/>
        </w:rPr>
        <w:tab/>
      </w:r>
      <w:r w:rsidR="00987199">
        <w:rPr>
          <w:lang w:val="fr-FR"/>
        </w:rPr>
        <w:tab/>
      </w:r>
      <w:r w:rsidR="00987199" w:rsidRPr="00987199">
        <w:rPr>
          <w:lang w:val="fr-FR"/>
        </w:rPr>
        <w:t>b)</w:t>
      </w:r>
      <w:r w:rsidR="00987199" w:rsidRPr="00987199">
        <w:rPr>
          <w:lang w:val="fr-FR"/>
        </w:rPr>
        <w:tab/>
        <w:t>La Fondation utilise exclusivement le produit des emprunts pour financer des opérations de prêt de capitaux de départ remboursables et couvrir les frais d’administration correspondants ;</w:t>
      </w:r>
    </w:p>
    <w:p w14:paraId="2F423F68" w14:textId="512C8D70" w:rsidR="00987199" w:rsidRPr="00987199" w:rsidRDefault="00AF036C" w:rsidP="00AF036C">
      <w:pPr>
        <w:pStyle w:val="SingleTxt"/>
        <w:ind w:left="1742" w:hanging="475"/>
        <w:rPr>
          <w:lang w:val="fr-FR"/>
        </w:rPr>
      </w:pPr>
      <w:r>
        <w:rPr>
          <w:lang w:val="fr-FR"/>
        </w:rPr>
        <w:tab/>
      </w:r>
      <w:r w:rsidR="00987199">
        <w:rPr>
          <w:lang w:val="fr-FR"/>
        </w:rPr>
        <w:tab/>
      </w:r>
      <w:r w:rsidR="00987199" w:rsidRPr="00987199">
        <w:rPr>
          <w:lang w:val="fr-FR"/>
        </w:rPr>
        <w:t>c)</w:t>
      </w:r>
      <w:r w:rsidR="00987199" w:rsidRPr="00987199">
        <w:rPr>
          <w:lang w:val="fr-FR"/>
        </w:rPr>
        <w:tab/>
        <w:t>Les sommes empruntées sont versées au Fonds de crédit de la Fondation créé par le Directeur exécutif en vertu de l’alinéa d) de la règle 304.2 et placées sur un compte distinct de ceux d’ONU-Habitat et de l’Organisation des Nations Unies ;</w:t>
      </w:r>
    </w:p>
    <w:p w14:paraId="1B873DDE" w14:textId="353AD981" w:rsidR="00987199" w:rsidRPr="00987199" w:rsidRDefault="00AF036C" w:rsidP="00AF036C">
      <w:pPr>
        <w:pStyle w:val="SingleTxt"/>
        <w:ind w:left="1742" w:hanging="475"/>
        <w:rPr>
          <w:lang w:val="fr-FR"/>
        </w:rPr>
      </w:pPr>
      <w:r>
        <w:rPr>
          <w:lang w:val="fr-FR"/>
        </w:rPr>
        <w:tab/>
      </w:r>
      <w:r w:rsidR="00987199">
        <w:rPr>
          <w:lang w:val="fr-FR"/>
        </w:rPr>
        <w:tab/>
      </w:r>
      <w:r w:rsidR="00987199" w:rsidRPr="00987199">
        <w:rPr>
          <w:lang w:val="fr-FR"/>
        </w:rPr>
        <w:t>d)</w:t>
      </w:r>
      <w:r w:rsidR="00987199" w:rsidRPr="00987199">
        <w:rPr>
          <w:lang w:val="fr-FR"/>
        </w:rPr>
        <w:tab/>
      </w:r>
      <w:r w:rsidR="00987199" w:rsidRPr="00C958A1">
        <w:rPr>
          <w:w w:val="100"/>
          <w:lang w:val="fr-FR"/>
        </w:rPr>
        <w:t xml:space="preserve">Lorsqu’il emprunte des fonds pour la Fondation, le Directeur exécutif veille à ce que le solde de la Réserve de crédit créée en vertu de l’alinéa e) </w:t>
      </w:r>
      <w:r w:rsidR="00987199" w:rsidRPr="00987199">
        <w:rPr>
          <w:lang w:val="fr-FR"/>
        </w:rPr>
        <w:t xml:space="preserve">de la </w:t>
      </w:r>
      <w:r w:rsidR="00987199" w:rsidRPr="00987199">
        <w:rPr>
          <w:lang w:val="fr-FR"/>
        </w:rPr>
        <w:lastRenderedPageBreak/>
        <w:t>règle 304.2 reste en toute circonstance suffisant pour garantir les emprunts contractés ;</w:t>
      </w:r>
    </w:p>
    <w:p w14:paraId="2E5D3342" w14:textId="2DB6FF35" w:rsidR="00987199" w:rsidRPr="00987199" w:rsidRDefault="00AF036C" w:rsidP="00AF036C">
      <w:pPr>
        <w:pStyle w:val="SingleTxt"/>
        <w:ind w:left="1742" w:hanging="475"/>
        <w:rPr>
          <w:lang w:val="fr-FR"/>
        </w:rPr>
      </w:pPr>
      <w:r>
        <w:rPr>
          <w:lang w:val="fr-FR"/>
        </w:rPr>
        <w:tab/>
      </w:r>
      <w:r w:rsidR="00987199">
        <w:rPr>
          <w:lang w:val="fr-FR"/>
        </w:rPr>
        <w:tab/>
      </w:r>
      <w:r w:rsidR="00987199" w:rsidRPr="00987199">
        <w:rPr>
          <w:lang w:val="fr-FR"/>
        </w:rPr>
        <w:t>e)</w:t>
      </w:r>
      <w:r w:rsidR="00987199" w:rsidRPr="00987199">
        <w:rPr>
          <w:lang w:val="fr-FR"/>
        </w:rPr>
        <w:tab/>
        <w:t>Le Secrétaire général peut prendre des dispositions et mesures complémentaires en tant que de besoin pour assurer la solvabilité du Fonds de crédit de la Fondation et faire en sorte que celle-ci soit mieux à même d’atteindre ses objectifs ;</w:t>
      </w:r>
    </w:p>
    <w:p w14:paraId="48843B00" w14:textId="606969D2" w:rsidR="00987199" w:rsidRPr="00987199" w:rsidRDefault="00AF036C" w:rsidP="00AF036C">
      <w:pPr>
        <w:pStyle w:val="SingleTxt"/>
        <w:ind w:left="1742" w:hanging="475"/>
        <w:rPr>
          <w:lang w:val="fr-FR"/>
        </w:rPr>
      </w:pPr>
      <w:r>
        <w:rPr>
          <w:lang w:val="fr-FR"/>
        </w:rPr>
        <w:tab/>
      </w:r>
      <w:r w:rsidR="00987199">
        <w:rPr>
          <w:lang w:val="fr-FR"/>
        </w:rPr>
        <w:tab/>
      </w:r>
      <w:r w:rsidR="00987199" w:rsidRPr="00987199">
        <w:rPr>
          <w:lang w:val="fr-FR"/>
        </w:rPr>
        <w:t>f)</w:t>
      </w:r>
      <w:r w:rsidR="00987199" w:rsidRPr="00987199">
        <w:rPr>
          <w:lang w:val="fr-FR"/>
        </w:rPr>
        <w:tab/>
        <w:t>Lorsqu’elle emprunte des fonds, la Fondation se conforme aux règles d’appel à la concurrence fixées par le Secrétaire général.</w:t>
      </w:r>
    </w:p>
    <w:p w14:paraId="102F5AE7" w14:textId="77777777" w:rsidR="00987199" w:rsidRPr="00987199" w:rsidRDefault="00987199" w:rsidP="00987199">
      <w:pPr>
        <w:pStyle w:val="SingleTxt"/>
        <w:spacing w:after="0" w:line="120" w:lineRule="exact"/>
        <w:rPr>
          <w:b/>
          <w:bCs/>
          <w:sz w:val="10"/>
          <w:lang w:val="fr-FR"/>
        </w:rPr>
      </w:pPr>
    </w:p>
    <w:p w14:paraId="5151129B" w14:textId="77777777" w:rsidR="00987199" w:rsidRPr="00987199" w:rsidRDefault="00987199" w:rsidP="00987199">
      <w:pPr>
        <w:pStyle w:val="SingleTxt"/>
        <w:spacing w:after="0" w:line="120" w:lineRule="exact"/>
        <w:rPr>
          <w:b/>
          <w:bCs/>
          <w:sz w:val="10"/>
          <w:lang w:val="fr-FR"/>
        </w:rPr>
      </w:pPr>
    </w:p>
    <w:p w14:paraId="6B63B24B" w14:textId="6D1E21F3" w:rsidR="00987199" w:rsidRDefault="00987199" w:rsidP="009871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sidR="00AF036C">
        <w:rPr>
          <w:lang w:val="fr-FR"/>
        </w:rPr>
        <w:tab/>
      </w:r>
      <w:r>
        <w:rPr>
          <w:lang w:val="fr-FR"/>
        </w:rPr>
        <w:tab/>
      </w:r>
      <w:r w:rsidRPr="00987199">
        <w:rPr>
          <w:lang w:val="fr-FR"/>
        </w:rPr>
        <w:t>Article IV</w:t>
      </w:r>
      <w:r>
        <w:rPr>
          <w:lang w:val="fr-FR"/>
        </w:rPr>
        <w:br/>
      </w:r>
      <w:r w:rsidR="00AF036C">
        <w:rPr>
          <w:bCs/>
          <w:lang w:val="fr-FR"/>
        </w:rPr>
        <w:tab/>
      </w:r>
      <w:r w:rsidRPr="00987199">
        <w:rPr>
          <w:bCs/>
          <w:lang w:val="fr-FR"/>
        </w:rPr>
        <w:t>Dépôt de fonds</w:t>
      </w:r>
    </w:p>
    <w:p w14:paraId="7D0035E2" w14:textId="0C202A79" w:rsidR="00987199" w:rsidRPr="00987199" w:rsidRDefault="00987199" w:rsidP="00987199">
      <w:pPr>
        <w:pStyle w:val="SingleTxt"/>
        <w:spacing w:after="0" w:line="120" w:lineRule="exact"/>
        <w:rPr>
          <w:sz w:val="10"/>
          <w:lang w:val="fr-FR"/>
        </w:rPr>
      </w:pPr>
    </w:p>
    <w:p w14:paraId="490A11BD" w14:textId="225758D4" w:rsidR="00987199" w:rsidRPr="00987199" w:rsidRDefault="00987199" w:rsidP="00987199">
      <w:pPr>
        <w:pStyle w:val="SingleTxt"/>
        <w:spacing w:after="0" w:line="120" w:lineRule="exact"/>
        <w:rPr>
          <w:sz w:val="10"/>
          <w:lang w:val="fr-FR"/>
        </w:rPr>
      </w:pPr>
    </w:p>
    <w:p w14:paraId="6ABBD11E" w14:textId="38094683" w:rsidR="00987199" w:rsidRDefault="00987199" w:rsidP="009871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F036C">
        <w:rPr>
          <w:lang w:val="fr-FR"/>
        </w:rPr>
        <w:tab/>
      </w:r>
      <w:r w:rsidRPr="00987199">
        <w:rPr>
          <w:lang w:val="fr-FR"/>
        </w:rPr>
        <w:t>Règle 304.6</w:t>
      </w:r>
    </w:p>
    <w:p w14:paraId="175B7659" w14:textId="2AD8045C" w:rsidR="00987199" w:rsidRPr="00987199" w:rsidRDefault="00987199" w:rsidP="00987199">
      <w:pPr>
        <w:pStyle w:val="SingleTxt"/>
        <w:spacing w:after="0" w:line="120" w:lineRule="exact"/>
        <w:rPr>
          <w:sz w:val="10"/>
          <w:lang w:val="fr-FR"/>
        </w:rPr>
      </w:pPr>
    </w:p>
    <w:p w14:paraId="42525F10" w14:textId="56E2E455" w:rsidR="00987199" w:rsidRPr="00987199" w:rsidRDefault="00987199" w:rsidP="00AF036C">
      <w:pPr>
        <w:pStyle w:val="SingleTxt"/>
        <w:ind w:left="1742" w:hanging="475"/>
        <w:rPr>
          <w:lang w:val="fr-FR"/>
        </w:rPr>
      </w:pPr>
      <w:r>
        <w:rPr>
          <w:lang w:val="fr-FR"/>
        </w:rPr>
        <w:tab/>
      </w:r>
      <w:r w:rsidR="00AF036C">
        <w:rPr>
          <w:lang w:val="fr-FR"/>
        </w:rPr>
        <w:tab/>
      </w:r>
      <w:r w:rsidRPr="00987199">
        <w:rPr>
          <w:lang w:val="fr-FR"/>
        </w:rPr>
        <w:t>Le Secrétaire général a la garde des fonds de la Fondation et autres ressources extrabudgétaires et désigne les comptes en banque sur lesquels ces fonds peuvent être déposés et les fonctionnaires habilités à signer les ordres relatifs à ces comptes. Il peut déléguer au Directeur exécutif la garde des avoirs du Fonds de crédit et de la Réserve de crédit pour autant qu’une telle délégation soit de nature à favoriser la gestion efficace et rationnelle des fonds de la Fondation. Le Directeur exécutif signifie par écrit son acceptation de cette délégation de pouvoir.</w:t>
      </w:r>
    </w:p>
    <w:p w14:paraId="14218D89" w14:textId="77777777" w:rsidR="00987199" w:rsidRPr="00987199" w:rsidRDefault="00987199" w:rsidP="00987199">
      <w:pPr>
        <w:pStyle w:val="SingleTxt"/>
        <w:spacing w:after="0" w:line="120" w:lineRule="exact"/>
        <w:rPr>
          <w:b/>
          <w:bCs/>
          <w:sz w:val="10"/>
          <w:lang w:val="fr-FR"/>
        </w:rPr>
      </w:pPr>
    </w:p>
    <w:p w14:paraId="6D15C99E" w14:textId="595E7B6D" w:rsidR="00987199" w:rsidRDefault="00987199" w:rsidP="009871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F036C">
        <w:rPr>
          <w:lang w:val="fr-FR"/>
        </w:rPr>
        <w:tab/>
      </w:r>
      <w:r w:rsidRPr="00987199">
        <w:rPr>
          <w:lang w:val="fr-FR"/>
        </w:rPr>
        <w:t>Règle 305.5</w:t>
      </w:r>
    </w:p>
    <w:p w14:paraId="72ABBCE7" w14:textId="417AD8AA" w:rsidR="00987199" w:rsidRPr="00987199" w:rsidRDefault="00987199" w:rsidP="00987199">
      <w:pPr>
        <w:pStyle w:val="SingleTxt"/>
        <w:spacing w:after="0" w:line="120" w:lineRule="exact"/>
        <w:rPr>
          <w:sz w:val="10"/>
          <w:lang w:val="fr-FR"/>
        </w:rPr>
      </w:pPr>
    </w:p>
    <w:p w14:paraId="77E4A64F" w14:textId="18B1E9AE" w:rsidR="00987199" w:rsidRPr="00AF036C" w:rsidRDefault="00987199" w:rsidP="00AF036C">
      <w:pPr>
        <w:pStyle w:val="SingleTxt"/>
        <w:ind w:left="1742" w:hanging="475"/>
        <w:rPr>
          <w:w w:val="100"/>
          <w:lang w:val="fr-FR"/>
        </w:rPr>
      </w:pPr>
      <w:r>
        <w:rPr>
          <w:lang w:val="fr-FR"/>
        </w:rPr>
        <w:tab/>
      </w:r>
      <w:r w:rsidR="00AF036C">
        <w:rPr>
          <w:lang w:val="fr-FR"/>
        </w:rPr>
        <w:tab/>
      </w:r>
      <w:r w:rsidRPr="00987199">
        <w:rPr>
          <w:lang w:val="fr-FR"/>
        </w:rPr>
        <w:t>a)</w:t>
      </w:r>
      <w:r w:rsidRPr="00987199">
        <w:rPr>
          <w:lang w:val="fr-FR"/>
        </w:rPr>
        <w:tab/>
      </w:r>
      <w:r w:rsidRPr="00AF036C">
        <w:rPr>
          <w:w w:val="100"/>
          <w:lang w:val="fr-FR"/>
        </w:rPr>
        <w:t>Conformément aux orientations définies par le Conseil d’administration, le Directeur exécutif établit les procédures et directives opérationnelles qui régissent le fonctionnement de la Fondation, en particulier ses opérations de prêt de capitaux de départ, et détermine en tant que de besoin :</w:t>
      </w:r>
    </w:p>
    <w:p w14:paraId="19CD24E7" w14:textId="29B900FB" w:rsidR="00987199" w:rsidRPr="00987199" w:rsidRDefault="00AF036C" w:rsidP="00AF036C">
      <w:pPr>
        <w:pStyle w:val="SingleTxt"/>
        <w:ind w:left="2218" w:hanging="951"/>
        <w:rPr>
          <w:lang w:val="fr-FR"/>
        </w:rPr>
      </w:pPr>
      <w:r>
        <w:rPr>
          <w:lang w:val="fr-FR"/>
        </w:rPr>
        <w:tab/>
      </w:r>
      <w:r w:rsidR="00987199">
        <w:rPr>
          <w:lang w:val="fr-FR"/>
        </w:rPr>
        <w:tab/>
      </w:r>
      <w:r>
        <w:rPr>
          <w:lang w:val="fr-FR"/>
        </w:rPr>
        <w:tab/>
      </w:r>
      <w:r w:rsidR="00987199" w:rsidRPr="00987199">
        <w:rPr>
          <w:lang w:val="fr-FR"/>
        </w:rPr>
        <w:t>i)</w:t>
      </w:r>
      <w:r w:rsidR="00987199" w:rsidRPr="00987199">
        <w:rPr>
          <w:lang w:val="fr-FR"/>
        </w:rPr>
        <w:tab/>
        <w:t>Les conditions auxquelles la Fondation peut contracter des emprunts en vertu de la règle 303.9 ;</w:t>
      </w:r>
    </w:p>
    <w:p w14:paraId="6E0D83AA" w14:textId="239F454F" w:rsidR="00987199" w:rsidRPr="00987199" w:rsidRDefault="00AF036C" w:rsidP="00C958A1">
      <w:pPr>
        <w:pStyle w:val="SingleTxt"/>
        <w:ind w:left="2218" w:hanging="951"/>
        <w:rPr>
          <w:lang w:val="fr-FR"/>
        </w:rPr>
      </w:pPr>
      <w:r>
        <w:rPr>
          <w:lang w:val="fr-FR"/>
        </w:rPr>
        <w:tab/>
      </w:r>
      <w:r w:rsidR="00C958A1">
        <w:rPr>
          <w:lang w:val="fr-FR"/>
        </w:rPr>
        <w:tab/>
      </w:r>
      <w:r w:rsidR="00987199">
        <w:rPr>
          <w:lang w:val="fr-FR"/>
        </w:rPr>
        <w:tab/>
      </w:r>
      <w:r w:rsidR="00987199" w:rsidRPr="00987199">
        <w:rPr>
          <w:lang w:val="fr-FR"/>
        </w:rPr>
        <w:t>ii)</w:t>
      </w:r>
      <w:r w:rsidR="00987199" w:rsidRPr="00987199">
        <w:rPr>
          <w:lang w:val="fr-FR"/>
        </w:rPr>
        <w:tab/>
        <w:t>Le montant total maximum des éléments suivants : a) encours des prêts ; b) garanties d’emprunt ; c) encours des placements en actions ;</w:t>
      </w:r>
    </w:p>
    <w:p w14:paraId="1780F11E" w14:textId="02C39106" w:rsidR="00987199" w:rsidRPr="00987199" w:rsidRDefault="00AF036C" w:rsidP="00C958A1">
      <w:pPr>
        <w:pStyle w:val="SingleTxt"/>
        <w:ind w:left="2218" w:hanging="951"/>
        <w:rPr>
          <w:lang w:val="fr-FR"/>
        </w:rPr>
      </w:pPr>
      <w:r>
        <w:rPr>
          <w:lang w:val="fr-FR"/>
        </w:rPr>
        <w:tab/>
      </w:r>
      <w:r w:rsidR="00C958A1">
        <w:rPr>
          <w:lang w:val="fr-FR"/>
        </w:rPr>
        <w:tab/>
      </w:r>
      <w:r w:rsidR="00987199">
        <w:rPr>
          <w:lang w:val="fr-FR"/>
        </w:rPr>
        <w:tab/>
      </w:r>
      <w:r w:rsidR="00987199" w:rsidRPr="00987199">
        <w:rPr>
          <w:lang w:val="fr-FR"/>
        </w:rPr>
        <w:t>iii)</w:t>
      </w:r>
      <w:r w:rsidR="00987199" w:rsidRPr="00987199">
        <w:rPr>
          <w:lang w:val="fr-FR"/>
        </w:rPr>
        <w:tab/>
        <w:t>Le montant plafond des subventions, prêts, garanties d’emprunt et prises de participation constituant la contribution de la Fondation au financement d’un projet ;</w:t>
      </w:r>
    </w:p>
    <w:p w14:paraId="48AED627" w14:textId="6756A9F9" w:rsidR="00987199" w:rsidRPr="00987199" w:rsidRDefault="00AF036C" w:rsidP="00C958A1">
      <w:pPr>
        <w:pStyle w:val="SingleTxt"/>
        <w:ind w:left="2218" w:hanging="951"/>
        <w:rPr>
          <w:lang w:val="fr-FR"/>
        </w:rPr>
      </w:pPr>
      <w:r>
        <w:rPr>
          <w:lang w:val="fr-FR"/>
        </w:rPr>
        <w:tab/>
      </w:r>
      <w:r w:rsidR="00C958A1">
        <w:rPr>
          <w:lang w:val="fr-FR"/>
        </w:rPr>
        <w:tab/>
      </w:r>
      <w:r w:rsidR="00987199">
        <w:rPr>
          <w:lang w:val="fr-FR"/>
        </w:rPr>
        <w:tab/>
      </w:r>
      <w:r w:rsidR="00987199" w:rsidRPr="00987199">
        <w:rPr>
          <w:lang w:val="fr-FR"/>
        </w:rPr>
        <w:t>iv)</w:t>
      </w:r>
      <w:r w:rsidR="00987199" w:rsidRPr="00987199">
        <w:rPr>
          <w:lang w:val="fr-FR"/>
        </w:rPr>
        <w:tab/>
        <w:t>La répartition en pourcentage des ressources du Fonds de crédit entre les prêts de capitaux de départ, les garanties d’emprunt et les prises de participation ;</w:t>
      </w:r>
    </w:p>
    <w:p w14:paraId="765A703B" w14:textId="50D3C5C3" w:rsidR="00987199" w:rsidRPr="00987199" w:rsidRDefault="00AF036C" w:rsidP="00C958A1">
      <w:pPr>
        <w:pStyle w:val="SingleTxt"/>
        <w:ind w:left="2218" w:hanging="951"/>
        <w:rPr>
          <w:lang w:val="fr-FR"/>
        </w:rPr>
      </w:pPr>
      <w:r>
        <w:rPr>
          <w:lang w:val="fr-FR"/>
        </w:rPr>
        <w:tab/>
      </w:r>
      <w:r w:rsidR="00C958A1">
        <w:rPr>
          <w:lang w:val="fr-FR"/>
        </w:rPr>
        <w:tab/>
      </w:r>
      <w:r w:rsidR="00987199">
        <w:rPr>
          <w:lang w:val="fr-FR"/>
        </w:rPr>
        <w:tab/>
      </w:r>
      <w:r w:rsidR="00987199" w:rsidRPr="00987199">
        <w:rPr>
          <w:lang w:val="fr-FR"/>
        </w:rPr>
        <w:t>v)</w:t>
      </w:r>
      <w:r w:rsidR="00987199" w:rsidRPr="00987199">
        <w:rPr>
          <w:lang w:val="fr-FR"/>
        </w:rPr>
        <w:tab/>
        <w:t>Les critères auxquels les emprunteurs doivent satisfaire pour bénéficier des opérations de prêt de capitaux de départ remboursables de la Fondation ;</w:t>
      </w:r>
    </w:p>
    <w:p w14:paraId="06906E04" w14:textId="6EEB3817" w:rsidR="00987199" w:rsidRPr="00987199" w:rsidRDefault="00AF036C" w:rsidP="00C958A1">
      <w:pPr>
        <w:pStyle w:val="SingleTxt"/>
        <w:ind w:left="2218" w:hanging="951"/>
        <w:rPr>
          <w:lang w:val="fr-FR"/>
        </w:rPr>
      </w:pPr>
      <w:r>
        <w:rPr>
          <w:lang w:val="fr-FR"/>
        </w:rPr>
        <w:tab/>
      </w:r>
      <w:r w:rsidR="00C958A1">
        <w:rPr>
          <w:lang w:val="fr-FR"/>
        </w:rPr>
        <w:tab/>
      </w:r>
      <w:r w:rsidR="00987199">
        <w:rPr>
          <w:lang w:val="fr-FR"/>
        </w:rPr>
        <w:tab/>
      </w:r>
      <w:r w:rsidR="00987199" w:rsidRPr="00987199">
        <w:rPr>
          <w:lang w:val="fr-FR"/>
        </w:rPr>
        <w:t>vi)</w:t>
      </w:r>
      <w:r w:rsidR="00987199" w:rsidRPr="00987199">
        <w:rPr>
          <w:lang w:val="fr-FR"/>
        </w:rPr>
        <w:tab/>
        <w:t>Les conditions auxquelles la Fondation peut accorder des subventions, des prêts et des garanties d’emprunt ou souscrire des prises de participation, conditions qui comprennent les taux d’intérêt et le montant des autres charges ; chaque opération de prêt de capitaux de départ est régie par le contrat de crédit visé à l’alinéa k) de la règle 301.3 ;</w:t>
      </w:r>
    </w:p>
    <w:p w14:paraId="6DD93630" w14:textId="53AEAB37" w:rsidR="00987199" w:rsidRPr="00987199" w:rsidRDefault="00AF036C" w:rsidP="00C958A1">
      <w:pPr>
        <w:pStyle w:val="SingleTxt"/>
        <w:ind w:left="2218" w:hanging="951"/>
        <w:rPr>
          <w:lang w:val="fr-FR"/>
        </w:rPr>
      </w:pPr>
      <w:r>
        <w:rPr>
          <w:lang w:val="fr-FR"/>
        </w:rPr>
        <w:tab/>
      </w:r>
      <w:r w:rsidR="00C958A1">
        <w:rPr>
          <w:lang w:val="fr-FR"/>
        </w:rPr>
        <w:tab/>
      </w:r>
      <w:r w:rsidR="00987199">
        <w:rPr>
          <w:lang w:val="fr-FR"/>
        </w:rPr>
        <w:tab/>
      </w:r>
      <w:r w:rsidR="00987199" w:rsidRPr="00987199">
        <w:rPr>
          <w:lang w:val="fr-FR"/>
        </w:rPr>
        <w:t>vii)</w:t>
      </w:r>
      <w:r w:rsidR="00987199" w:rsidRPr="00987199">
        <w:rPr>
          <w:lang w:val="fr-FR"/>
        </w:rPr>
        <w:tab/>
        <w:t>Les conditions auxquelles les titres remis à la Fondation par les emprunteurs peuvent être cédés à des investisseurs privés afin de faire travailler les fonds de la Fondation dans le respect des dispositions de la règle 303.9.</w:t>
      </w:r>
    </w:p>
    <w:p w14:paraId="4100CC1E" w14:textId="7D5B1170" w:rsidR="00987199" w:rsidRPr="00987199" w:rsidRDefault="00AF036C" w:rsidP="00AF036C">
      <w:pPr>
        <w:pStyle w:val="SingleTxt"/>
        <w:ind w:left="1742" w:hanging="475"/>
        <w:rPr>
          <w:lang w:val="fr-FR"/>
        </w:rPr>
      </w:pPr>
      <w:r>
        <w:rPr>
          <w:lang w:val="fr-FR"/>
        </w:rPr>
        <w:tab/>
      </w:r>
      <w:r w:rsidR="00987199">
        <w:rPr>
          <w:lang w:val="fr-FR"/>
        </w:rPr>
        <w:tab/>
      </w:r>
      <w:r w:rsidR="00987199" w:rsidRPr="00987199">
        <w:rPr>
          <w:lang w:val="fr-FR"/>
        </w:rPr>
        <w:t>b)</w:t>
      </w:r>
      <w:r w:rsidR="00987199" w:rsidRPr="00987199">
        <w:rPr>
          <w:lang w:val="fr-FR"/>
        </w:rPr>
        <w:tab/>
        <w:t>Le Directeur exécutif rend compte au Secrétaire général des mesures qu’il a prises pour définir et faire appliquer les principes, systèmes et règles de fonctionnement susmentionnés.</w:t>
      </w:r>
    </w:p>
    <w:p w14:paraId="1DE0A52B" w14:textId="77777777" w:rsidR="00987199" w:rsidRPr="00987199" w:rsidRDefault="00987199" w:rsidP="00987199">
      <w:pPr>
        <w:pStyle w:val="SingleTxt"/>
        <w:spacing w:after="0" w:line="120" w:lineRule="exact"/>
        <w:rPr>
          <w:b/>
          <w:bCs/>
          <w:sz w:val="10"/>
          <w:lang w:val="fr-FR"/>
        </w:rPr>
      </w:pPr>
    </w:p>
    <w:p w14:paraId="36F9DD9C" w14:textId="77777777" w:rsidR="00987199" w:rsidRPr="00987199" w:rsidRDefault="00987199" w:rsidP="00987199">
      <w:pPr>
        <w:pStyle w:val="SingleTxt"/>
        <w:spacing w:after="0" w:line="120" w:lineRule="exact"/>
        <w:rPr>
          <w:b/>
          <w:bCs/>
          <w:sz w:val="10"/>
          <w:lang w:val="fr-FR"/>
        </w:rPr>
      </w:pPr>
    </w:p>
    <w:p w14:paraId="593237C7" w14:textId="4F6B0894" w:rsidR="00987199" w:rsidRDefault="00987199" w:rsidP="009871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sidR="00AF036C">
        <w:rPr>
          <w:lang w:val="fr-FR"/>
        </w:rPr>
        <w:tab/>
      </w:r>
      <w:r>
        <w:rPr>
          <w:lang w:val="fr-FR"/>
        </w:rPr>
        <w:tab/>
      </w:r>
      <w:r w:rsidRPr="00987199">
        <w:rPr>
          <w:lang w:val="fr-FR"/>
        </w:rPr>
        <w:t>Article VI</w:t>
      </w:r>
      <w:r>
        <w:rPr>
          <w:lang w:val="fr-FR"/>
        </w:rPr>
        <w:br/>
      </w:r>
      <w:r w:rsidR="00AF036C">
        <w:rPr>
          <w:bCs/>
          <w:lang w:val="fr-FR"/>
        </w:rPr>
        <w:tab/>
      </w:r>
      <w:r w:rsidRPr="00987199">
        <w:rPr>
          <w:bCs/>
          <w:lang w:val="fr-FR"/>
        </w:rPr>
        <w:t>Comptabilité</w:t>
      </w:r>
    </w:p>
    <w:p w14:paraId="2639633D" w14:textId="02A0DD53" w:rsidR="00987199" w:rsidRPr="00987199" w:rsidRDefault="00987199" w:rsidP="00987199">
      <w:pPr>
        <w:pStyle w:val="SingleTxt"/>
        <w:spacing w:after="0" w:line="120" w:lineRule="exact"/>
        <w:rPr>
          <w:sz w:val="10"/>
          <w:lang w:val="fr-FR"/>
        </w:rPr>
      </w:pPr>
    </w:p>
    <w:p w14:paraId="70577B89" w14:textId="672B346D" w:rsidR="00987199" w:rsidRPr="00987199" w:rsidRDefault="00987199" w:rsidP="00987199">
      <w:pPr>
        <w:pStyle w:val="SingleTxt"/>
        <w:spacing w:after="0" w:line="120" w:lineRule="exact"/>
        <w:rPr>
          <w:sz w:val="10"/>
          <w:lang w:val="fr-FR"/>
        </w:rPr>
      </w:pPr>
    </w:p>
    <w:p w14:paraId="7692B045" w14:textId="5834F0F4" w:rsidR="00987199" w:rsidRDefault="00987199" w:rsidP="009871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F036C">
        <w:rPr>
          <w:lang w:val="fr-FR"/>
        </w:rPr>
        <w:tab/>
      </w:r>
      <w:r>
        <w:rPr>
          <w:lang w:val="fr-FR"/>
        </w:rPr>
        <w:tab/>
      </w:r>
      <w:r w:rsidRPr="00987199">
        <w:rPr>
          <w:lang w:val="fr-FR"/>
        </w:rPr>
        <w:t>Règle 306.1</w:t>
      </w:r>
    </w:p>
    <w:p w14:paraId="64D7CCA3" w14:textId="45D277E2" w:rsidR="00987199" w:rsidRPr="00987199" w:rsidRDefault="00987199" w:rsidP="00987199">
      <w:pPr>
        <w:pStyle w:val="SingleTxt"/>
        <w:spacing w:after="0" w:line="120" w:lineRule="exact"/>
        <w:rPr>
          <w:sz w:val="10"/>
          <w:lang w:val="fr-FR"/>
        </w:rPr>
      </w:pPr>
    </w:p>
    <w:p w14:paraId="7481453E" w14:textId="020C9CA8" w:rsidR="00987199" w:rsidRPr="00987199" w:rsidRDefault="00AF036C" w:rsidP="00987199">
      <w:pPr>
        <w:pStyle w:val="SingleTxt"/>
        <w:rPr>
          <w:lang w:val="fr-FR"/>
        </w:rPr>
      </w:pPr>
      <w:r>
        <w:rPr>
          <w:lang w:val="fr-FR"/>
        </w:rPr>
        <w:tab/>
      </w:r>
      <w:r w:rsidR="00987199">
        <w:rPr>
          <w:lang w:val="fr-FR"/>
        </w:rPr>
        <w:tab/>
      </w:r>
      <w:r w:rsidR="00987199" w:rsidRPr="00987199">
        <w:rPr>
          <w:lang w:val="fr-FR"/>
        </w:rPr>
        <w:t>La Fondation doit tenir des comptes distincts pour :</w:t>
      </w:r>
    </w:p>
    <w:p w14:paraId="1E4A573C" w14:textId="38E28E9B" w:rsidR="00987199" w:rsidRPr="00987199" w:rsidRDefault="00AF036C" w:rsidP="00987199">
      <w:pPr>
        <w:pStyle w:val="SingleTxt"/>
        <w:rPr>
          <w:lang w:val="fr-FR"/>
        </w:rPr>
      </w:pPr>
      <w:r>
        <w:rPr>
          <w:lang w:val="fr-FR"/>
        </w:rPr>
        <w:tab/>
      </w:r>
      <w:r w:rsidR="00987199" w:rsidRPr="00987199">
        <w:rPr>
          <w:lang w:val="fr-FR"/>
        </w:rPr>
        <w:tab/>
        <w:t>a)</w:t>
      </w:r>
      <w:r w:rsidR="00987199" w:rsidRPr="00987199">
        <w:rPr>
          <w:lang w:val="fr-FR"/>
        </w:rPr>
        <w:tab/>
        <w:t>Le Fonds général et la Réserve financière générale ;</w:t>
      </w:r>
    </w:p>
    <w:p w14:paraId="25014814" w14:textId="6685A547" w:rsidR="00987199" w:rsidRPr="00987199" w:rsidRDefault="00AF036C" w:rsidP="00987199">
      <w:pPr>
        <w:pStyle w:val="SingleTxt"/>
        <w:rPr>
          <w:lang w:val="fr-FR"/>
        </w:rPr>
      </w:pPr>
      <w:r>
        <w:rPr>
          <w:lang w:val="fr-FR"/>
        </w:rPr>
        <w:tab/>
      </w:r>
      <w:r w:rsidR="00987199" w:rsidRPr="00987199">
        <w:rPr>
          <w:lang w:val="fr-FR"/>
        </w:rPr>
        <w:tab/>
        <w:t>b)</w:t>
      </w:r>
      <w:r w:rsidR="00987199" w:rsidRPr="00987199">
        <w:rPr>
          <w:lang w:val="fr-FR"/>
        </w:rPr>
        <w:tab/>
        <w:t>Le Fonds de crédit et la Réserve de crédit ;</w:t>
      </w:r>
    </w:p>
    <w:p w14:paraId="3D36F258" w14:textId="302284E3" w:rsidR="00987199" w:rsidRPr="00987199" w:rsidRDefault="00AF036C" w:rsidP="00987199">
      <w:pPr>
        <w:pStyle w:val="SingleTxt"/>
        <w:rPr>
          <w:lang w:val="fr-FR"/>
        </w:rPr>
      </w:pPr>
      <w:r>
        <w:rPr>
          <w:lang w:val="fr-FR"/>
        </w:rPr>
        <w:tab/>
      </w:r>
      <w:r w:rsidR="00987199" w:rsidRPr="00987199">
        <w:rPr>
          <w:lang w:val="fr-FR"/>
        </w:rPr>
        <w:tab/>
        <w:t>c)</w:t>
      </w:r>
      <w:r w:rsidR="00987199" w:rsidRPr="00987199">
        <w:rPr>
          <w:lang w:val="fr-FR"/>
        </w:rPr>
        <w:tab/>
        <w:t>Les fonds d’affectation spéciale ;</w:t>
      </w:r>
    </w:p>
    <w:p w14:paraId="7FFBF3F4" w14:textId="3750C81D" w:rsidR="00987199" w:rsidRPr="00987199" w:rsidRDefault="00AF036C" w:rsidP="00987199">
      <w:pPr>
        <w:pStyle w:val="SingleTxt"/>
        <w:rPr>
          <w:lang w:val="fr-FR"/>
        </w:rPr>
      </w:pPr>
      <w:r>
        <w:rPr>
          <w:lang w:val="fr-FR"/>
        </w:rPr>
        <w:tab/>
      </w:r>
      <w:r w:rsidR="00987199" w:rsidRPr="00987199">
        <w:rPr>
          <w:lang w:val="fr-FR"/>
        </w:rPr>
        <w:tab/>
        <w:t>d)</w:t>
      </w:r>
      <w:r w:rsidR="00987199" w:rsidRPr="00987199">
        <w:rPr>
          <w:lang w:val="fr-FR"/>
        </w:rPr>
        <w:tab/>
        <w:t>Les dépenses d’appui au programme ;</w:t>
      </w:r>
    </w:p>
    <w:p w14:paraId="7FCADD9C" w14:textId="3119DD99" w:rsidR="00987199" w:rsidRPr="00987199" w:rsidRDefault="00AF036C" w:rsidP="00AF036C">
      <w:pPr>
        <w:pStyle w:val="SingleTxt"/>
        <w:ind w:left="1742" w:hanging="475"/>
        <w:rPr>
          <w:lang w:val="fr-FR"/>
        </w:rPr>
      </w:pPr>
      <w:r>
        <w:rPr>
          <w:lang w:val="fr-FR"/>
        </w:rPr>
        <w:tab/>
      </w:r>
      <w:r w:rsidR="00987199" w:rsidRPr="00987199">
        <w:rPr>
          <w:lang w:val="fr-FR"/>
        </w:rPr>
        <w:tab/>
        <w:t>e)</w:t>
      </w:r>
      <w:r w:rsidR="00987199" w:rsidRPr="00987199">
        <w:rPr>
          <w:lang w:val="fr-FR"/>
        </w:rPr>
        <w:tab/>
        <w:t>Tous autres postes comptables pour lesquels le Secrétaire général peut exiger la tenue de comptes distincts.</w:t>
      </w:r>
    </w:p>
    <w:p w14:paraId="325BAFB6" w14:textId="77777777" w:rsidR="00987199" w:rsidRPr="00987199" w:rsidRDefault="00987199" w:rsidP="00987199">
      <w:pPr>
        <w:pStyle w:val="SingleTxt"/>
        <w:spacing w:after="0" w:line="120" w:lineRule="exact"/>
        <w:rPr>
          <w:b/>
          <w:bCs/>
          <w:sz w:val="10"/>
          <w:lang w:val="fr-FR"/>
        </w:rPr>
      </w:pPr>
    </w:p>
    <w:p w14:paraId="24A4A12F" w14:textId="485700FC" w:rsidR="00987199" w:rsidRDefault="00987199" w:rsidP="009871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F036C">
        <w:rPr>
          <w:lang w:val="fr-FR"/>
        </w:rPr>
        <w:tab/>
      </w:r>
      <w:r w:rsidRPr="00987199">
        <w:rPr>
          <w:lang w:val="fr-FR"/>
        </w:rPr>
        <w:t>Règle 306.2</w:t>
      </w:r>
    </w:p>
    <w:p w14:paraId="74FAD33A" w14:textId="55865E57" w:rsidR="00987199" w:rsidRPr="00987199" w:rsidRDefault="00987199" w:rsidP="00987199">
      <w:pPr>
        <w:pStyle w:val="SingleTxt"/>
        <w:spacing w:after="0" w:line="120" w:lineRule="exact"/>
        <w:rPr>
          <w:sz w:val="10"/>
          <w:lang w:val="fr-FR"/>
        </w:rPr>
      </w:pPr>
    </w:p>
    <w:p w14:paraId="5AC8571F" w14:textId="4CCDAB8C" w:rsidR="00987199" w:rsidRPr="00987199" w:rsidRDefault="00AF036C" w:rsidP="00AF036C">
      <w:pPr>
        <w:pStyle w:val="SingleTxt"/>
        <w:ind w:left="1742" w:hanging="475"/>
        <w:rPr>
          <w:lang w:val="fr-FR"/>
        </w:rPr>
      </w:pPr>
      <w:r>
        <w:rPr>
          <w:lang w:val="fr-FR"/>
        </w:rPr>
        <w:tab/>
      </w:r>
      <w:r w:rsidR="00987199">
        <w:rPr>
          <w:lang w:val="fr-FR"/>
        </w:rPr>
        <w:tab/>
      </w:r>
      <w:r w:rsidR="00987199" w:rsidRPr="00987199">
        <w:rPr>
          <w:lang w:val="fr-FR"/>
        </w:rPr>
        <w:t>Le Secrétaire général tient les comptes de la Fondation et des autres ressources extrabudgétaires voulus pour que le Directeur exécutif puisse rendre compte au Conseil d’administration.</w:t>
      </w:r>
    </w:p>
    <w:p w14:paraId="552AAEBC" w14:textId="77777777" w:rsidR="00987199" w:rsidRPr="00987199" w:rsidRDefault="00987199" w:rsidP="00987199">
      <w:pPr>
        <w:pStyle w:val="SingleTxt"/>
        <w:spacing w:after="0" w:line="120" w:lineRule="exact"/>
        <w:rPr>
          <w:b/>
          <w:bCs/>
          <w:sz w:val="10"/>
          <w:lang w:val="fr-FR"/>
        </w:rPr>
      </w:pPr>
    </w:p>
    <w:p w14:paraId="52C3324D" w14:textId="093AF833" w:rsidR="00987199" w:rsidRDefault="00987199" w:rsidP="009871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F036C">
        <w:rPr>
          <w:lang w:val="fr-FR"/>
        </w:rPr>
        <w:tab/>
      </w:r>
      <w:r>
        <w:rPr>
          <w:lang w:val="fr-FR"/>
        </w:rPr>
        <w:tab/>
      </w:r>
      <w:r w:rsidRPr="00987199">
        <w:rPr>
          <w:lang w:val="fr-FR"/>
        </w:rPr>
        <w:t>Règle 306.10</w:t>
      </w:r>
    </w:p>
    <w:p w14:paraId="71BE0E12" w14:textId="232EB15E" w:rsidR="00987199" w:rsidRPr="00987199" w:rsidRDefault="00987199" w:rsidP="00987199">
      <w:pPr>
        <w:pStyle w:val="SingleTxt"/>
        <w:spacing w:after="0" w:line="120" w:lineRule="exact"/>
        <w:rPr>
          <w:sz w:val="10"/>
          <w:lang w:val="fr-FR"/>
        </w:rPr>
      </w:pPr>
    </w:p>
    <w:p w14:paraId="256D9F59" w14:textId="1923A244" w:rsidR="00987199" w:rsidRPr="00987199" w:rsidRDefault="00987199" w:rsidP="00AF036C">
      <w:pPr>
        <w:pStyle w:val="SingleTxt"/>
        <w:ind w:left="1742" w:hanging="475"/>
        <w:rPr>
          <w:lang w:val="fr-FR"/>
        </w:rPr>
      </w:pPr>
      <w:r>
        <w:rPr>
          <w:lang w:val="fr-FR"/>
        </w:rPr>
        <w:tab/>
      </w:r>
      <w:r w:rsidR="00AF036C">
        <w:rPr>
          <w:lang w:val="fr-FR"/>
        </w:rPr>
        <w:tab/>
      </w:r>
      <w:r w:rsidRPr="00987199">
        <w:rPr>
          <w:lang w:val="fr-FR"/>
        </w:rPr>
        <w:t>Le Secrétaire général établit et certifie les états financiers annuels d’ONU-Habitat, dont ceux de la Fondation et des autres ressources extrabudgétaires, conformément au Règlement financier et aux règles de gestion financière de l’Organisation des Nations Unies. Il soumet ces états financiers au Comité des commissaires aux comptes conformément à l’alinéa a) de la règle de gestion financière 106.1 de l’Organisation.</w:t>
      </w:r>
    </w:p>
    <w:p w14:paraId="625078E4" w14:textId="4288B41B" w:rsidR="00987199" w:rsidRPr="00AF036C" w:rsidRDefault="00987199" w:rsidP="00AF036C">
      <w:pPr>
        <w:pStyle w:val="SingleTxt"/>
        <w:spacing w:after="0" w:line="120" w:lineRule="exact"/>
        <w:rPr>
          <w:sz w:val="10"/>
          <w:lang w:val="fr-FR"/>
        </w:rPr>
      </w:pPr>
    </w:p>
    <w:p w14:paraId="11724DFF" w14:textId="6926EF79" w:rsidR="00AF036C" w:rsidRPr="00AF036C" w:rsidRDefault="00AF036C" w:rsidP="00AF036C">
      <w:pPr>
        <w:pStyle w:val="SingleTxt"/>
        <w:spacing w:after="0" w:line="120" w:lineRule="exact"/>
        <w:rPr>
          <w:sz w:val="10"/>
          <w:lang w:val="fr-FR"/>
        </w:rPr>
      </w:pPr>
    </w:p>
    <w:p w14:paraId="7986D7F8" w14:textId="0ED1361A" w:rsidR="00987199" w:rsidRPr="00987199" w:rsidRDefault="00AF036C" w:rsidP="009871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lang w:val="fr-FR"/>
        </w:rPr>
        <w:tab/>
      </w:r>
      <w:r w:rsidR="00987199" w:rsidRPr="00987199">
        <w:rPr>
          <w:lang w:val="fr-FR"/>
        </w:rPr>
        <w:t>Annexe III</w:t>
      </w:r>
    </w:p>
    <w:p w14:paraId="45183F9A" w14:textId="29C4A26B" w:rsidR="00987199" w:rsidRDefault="00987199" w:rsidP="00AF03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lang w:val="fr-FR"/>
        </w:rPr>
      </w:pPr>
      <w:r>
        <w:rPr>
          <w:lang w:val="fr-FR"/>
        </w:rPr>
        <w:tab/>
      </w:r>
      <w:r w:rsidR="00AF036C">
        <w:rPr>
          <w:lang w:val="fr-FR"/>
        </w:rPr>
        <w:tab/>
      </w:r>
      <w:r>
        <w:rPr>
          <w:lang w:val="fr-FR"/>
        </w:rPr>
        <w:tab/>
      </w:r>
      <w:r w:rsidRPr="00987199">
        <w:rPr>
          <w:lang w:val="fr-FR"/>
        </w:rPr>
        <w:t>Règles de gestion financière du Fonds du Programme des</w:t>
      </w:r>
      <w:r>
        <w:rPr>
          <w:lang w:val="fr-FR"/>
        </w:rPr>
        <w:t> </w:t>
      </w:r>
      <w:r w:rsidRPr="00987199">
        <w:rPr>
          <w:lang w:val="fr-FR"/>
        </w:rPr>
        <w:t xml:space="preserve">Nations Unies pour le contrôle international </w:t>
      </w:r>
      <w:r>
        <w:rPr>
          <w:lang w:val="fr-FR"/>
        </w:rPr>
        <w:br/>
      </w:r>
      <w:r w:rsidRPr="00987199">
        <w:rPr>
          <w:lang w:val="fr-FR"/>
        </w:rPr>
        <w:t>des drogues et du Fonds du Programme des Nations Unies pour la prévention du crime et la justice pénale</w:t>
      </w:r>
    </w:p>
    <w:p w14:paraId="13774D67" w14:textId="62E12EB3" w:rsidR="00987199" w:rsidRPr="00987199" w:rsidRDefault="00987199" w:rsidP="00987199">
      <w:pPr>
        <w:pStyle w:val="SingleTxt"/>
        <w:spacing w:after="0" w:line="120" w:lineRule="exact"/>
        <w:rPr>
          <w:sz w:val="10"/>
          <w:lang w:val="fr-FR"/>
        </w:rPr>
      </w:pPr>
    </w:p>
    <w:p w14:paraId="73C97166" w14:textId="1210573C" w:rsidR="00987199" w:rsidRPr="00987199" w:rsidRDefault="00987199" w:rsidP="00987199">
      <w:pPr>
        <w:pStyle w:val="SingleTxt"/>
        <w:spacing w:after="0" w:line="120" w:lineRule="exact"/>
        <w:rPr>
          <w:sz w:val="10"/>
          <w:lang w:val="fr-FR"/>
        </w:rPr>
      </w:pPr>
    </w:p>
    <w:p w14:paraId="73DB81B9" w14:textId="46A11C26" w:rsidR="00987199" w:rsidRDefault="00987199" w:rsidP="009871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sidR="00AF036C">
        <w:rPr>
          <w:lang w:val="fr-FR"/>
        </w:rPr>
        <w:tab/>
      </w:r>
      <w:r>
        <w:rPr>
          <w:lang w:val="fr-FR"/>
        </w:rPr>
        <w:tab/>
      </w:r>
      <w:r w:rsidRPr="00987199">
        <w:rPr>
          <w:lang w:val="fr-FR"/>
        </w:rPr>
        <w:t>Article VI</w:t>
      </w:r>
      <w:r>
        <w:rPr>
          <w:lang w:val="fr-FR"/>
        </w:rPr>
        <w:br/>
      </w:r>
      <w:r w:rsidR="00AF036C">
        <w:rPr>
          <w:bCs/>
          <w:lang w:val="fr-FR"/>
        </w:rPr>
        <w:tab/>
      </w:r>
      <w:r w:rsidRPr="00987199">
        <w:rPr>
          <w:bCs/>
          <w:lang w:val="fr-FR"/>
        </w:rPr>
        <w:t>Comptabilité</w:t>
      </w:r>
    </w:p>
    <w:p w14:paraId="2A02D6FD" w14:textId="49FE7204" w:rsidR="00987199" w:rsidRPr="00987199" w:rsidRDefault="00987199" w:rsidP="00987199">
      <w:pPr>
        <w:pStyle w:val="SingleTxt"/>
        <w:spacing w:after="0" w:line="120" w:lineRule="exact"/>
        <w:rPr>
          <w:sz w:val="10"/>
          <w:lang w:val="fr-FR"/>
        </w:rPr>
      </w:pPr>
    </w:p>
    <w:p w14:paraId="4168CF95" w14:textId="6CF04F95" w:rsidR="00987199" w:rsidRPr="00987199" w:rsidRDefault="00987199" w:rsidP="00987199">
      <w:pPr>
        <w:pStyle w:val="SingleTxt"/>
        <w:spacing w:after="0" w:line="120" w:lineRule="exact"/>
        <w:rPr>
          <w:sz w:val="10"/>
          <w:lang w:val="fr-FR"/>
        </w:rPr>
      </w:pPr>
    </w:p>
    <w:p w14:paraId="470C9091" w14:textId="2DC1C0A3" w:rsidR="00987199" w:rsidRDefault="00987199" w:rsidP="009871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F036C">
        <w:rPr>
          <w:lang w:val="fr-FR"/>
        </w:rPr>
        <w:tab/>
      </w:r>
      <w:r>
        <w:rPr>
          <w:lang w:val="fr-FR"/>
        </w:rPr>
        <w:tab/>
      </w:r>
      <w:r w:rsidRPr="00987199">
        <w:rPr>
          <w:lang w:val="fr-FR"/>
        </w:rPr>
        <w:t>Règle 406.1</w:t>
      </w:r>
    </w:p>
    <w:p w14:paraId="0997D8B7" w14:textId="21618B5F" w:rsidR="00987199" w:rsidRPr="00987199" w:rsidRDefault="00987199" w:rsidP="00987199">
      <w:pPr>
        <w:pStyle w:val="SingleTxt"/>
        <w:spacing w:after="0" w:line="120" w:lineRule="exact"/>
        <w:rPr>
          <w:sz w:val="10"/>
          <w:lang w:val="fr-FR"/>
        </w:rPr>
      </w:pPr>
    </w:p>
    <w:p w14:paraId="4812D5FB" w14:textId="7D07F717" w:rsidR="00987199" w:rsidRPr="00987199" w:rsidRDefault="00AF036C" w:rsidP="00AF036C">
      <w:pPr>
        <w:pStyle w:val="SingleTxt"/>
        <w:ind w:left="1742" w:hanging="475"/>
        <w:rPr>
          <w:lang w:val="fr-FR"/>
        </w:rPr>
      </w:pPr>
      <w:r>
        <w:rPr>
          <w:lang w:val="fr-FR"/>
        </w:rPr>
        <w:tab/>
      </w:r>
      <w:r w:rsidR="00987199">
        <w:rPr>
          <w:lang w:val="fr-FR"/>
        </w:rPr>
        <w:tab/>
      </w:r>
      <w:r w:rsidR="00987199" w:rsidRPr="00987199">
        <w:rPr>
          <w:lang w:val="fr-FR"/>
        </w:rPr>
        <w:t>Le Secrétaire général est chargé de tenir les comptes des Fonds de l’ONUDC et de communiquer l’information correspondante au Comité des commissaires aux comptes, à la Commission des stupéfiants, à la Commission pour la prévention du crime et la justice pénale et à l’Assemblée générale.</w:t>
      </w:r>
    </w:p>
    <w:p w14:paraId="3CB79ABA" w14:textId="77777777" w:rsidR="00987199" w:rsidRPr="00987199" w:rsidRDefault="00987199" w:rsidP="00987199">
      <w:pPr>
        <w:pStyle w:val="SingleTxt"/>
        <w:spacing w:after="0" w:line="120" w:lineRule="exact"/>
        <w:rPr>
          <w:b/>
          <w:bCs/>
          <w:sz w:val="10"/>
          <w:lang w:val="fr-FR"/>
        </w:rPr>
      </w:pPr>
    </w:p>
    <w:p w14:paraId="15A7C6B8" w14:textId="359F314E" w:rsidR="00987199" w:rsidRDefault="00987199" w:rsidP="009871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F036C">
        <w:rPr>
          <w:lang w:val="fr-FR"/>
        </w:rPr>
        <w:tab/>
      </w:r>
      <w:r>
        <w:rPr>
          <w:lang w:val="fr-FR"/>
        </w:rPr>
        <w:tab/>
      </w:r>
      <w:r w:rsidRPr="00987199">
        <w:rPr>
          <w:lang w:val="fr-FR"/>
        </w:rPr>
        <w:t>Règle 406.3</w:t>
      </w:r>
    </w:p>
    <w:p w14:paraId="46D83F79" w14:textId="7107CF6F" w:rsidR="00987199" w:rsidRPr="00987199" w:rsidRDefault="00987199" w:rsidP="00987199">
      <w:pPr>
        <w:pStyle w:val="SingleTxt"/>
        <w:spacing w:after="0" w:line="120" w:lineRule="exact"/>
        <w:rPr>
          <w:sz w:val="10"/>
          <w:lang w:val="fr-FR"/>
        </w:rPr>
      </w:pPr>
    </w:p>
    <w:p w14:paraId="607F2DB9" w14:textId="3733523B" w:rsidR="00987199" w:rsidRPr="00987199" w:rsidRDefault="00AF036C" w:rsidP="00AF036C">
      <w:pPr>
        <w:pStyle w:val="SingleTxt"/>
        <w:ind w:left="1742" w:hanging="475"/>
        <w:rPr>
          <w:lang w:val="fr-FR"/>
        </w:rPr>
      </w:pPr>
      <w:r>
        <w:rPr>
          <w:lang w:val="fr-FR"/>
        </w:rPr>
        <w:tab/>
      </w:r>
      <w:r w:rsidR="00987199">
        <w:rPr>
          <w:lang w:val="fr-FR"/>
        </w:rPr>
        <w:tab/>
      </w:r>
      <w:r w:rsidR="00987199" w:rsidRPr="00987199">
        <w:rPr>
          <w:lang w:val="fr-FR"/>
        </w:rPr>
        <w:t>Le Secrétaire général établit et certifie les états financiers annuels de l’ONUDC et de ses Fonds conformément au Règlement financier et aux règles de gestion financière de l’Organisation des Nations Unies. Il soumet ces états financiers au Comité des commissaires aux comptes comme indiqué à l’alinéa a) de la règle de gestion financière 106.1 de l’Organisation.</w:t>
      </w:r>
    </w:p>
    <w:p w14:paraId="0A0A0AD8" w14:textId="2371B3C1" w:rsidR="00987199" w:rsidRPr="00987199" w:rsidRDefault="00987199" w:rsidP="00C958A1">
      <w:pPr>
        <w:pStyle w:val="SingleTxt"/>
        <w:numPr>
          <w:ilvl w:val="0"/>
          <w:numId w:val="41"/>
        </w:numPr>
        <w:spacing w:line="240" w:lineRule="exact"/>
        <w:ind w:left="1267"/>
        <w:rPr>
          <w:lang w:val="fr-FR"/>
        </w:rPr>
      </w:pPr>
      <w:r w:rsidRPr="00987199">
        <w:rPr>
          <w:lang w:val="fr-FR"/>
        </w:rPr>
        <w:t>Le présent amendement entre en vigueur le 1</w:t>
      </w:r>
      <w:r w:rsidRPr="00987199">
        <w:rPr>
          <w:vertAlign w:val="superscript"/>
          <w:lang w:val="fr-FR"/>
        </w:rPr>
        <w:t>er</w:t>
      </w:r>
      <w:r w:rsidRPr="00987199">
        <w:rPr>
          <w:lang w:val="fr-FR"/>
        </w:rPr>
        <w:t xml:space="preserve"> janvier 2019.</w:t>
      </w:r>
    </w:p>
    <w:p w14:paraId="3E4EC4E1" w14:textId="11EBEB6D" w:rsidR="00987199" w:rsidRPr="00AF036C" w:rsidRDefault="00987199" w:rsidP="00AF036C">
      <w:pPr>
        <w:pStyle w:val="SingleTxt"/>
        <w:spacing w:after="0" w:line="120" w:lineRule="exact"/>
        <w:rPr>
          <w:sz w:val="10"/>
          <w:lang w:val="fr-FR"/>
        </w:rPr>
      </w:pPr>
    </w:p>
    <w:p w14:paraId="3230FB2C" w14:textId="701E1801" w:rsidR="00987199" w:rsidRPr="00987199" w:rsidRDefault="004166BC" w:rsidP="00AF036C">
      <w:pPr>
        <w:pStyle w:val="SingleTxt"/>
        <w:jc w:val="right"/>
        <w:rPr>
          <w:b/>
        </w:rPr>
      </w:pPr>
      <w:r>
        <w:t>Le Secrétaire g</w:t>
      </w:r>
      <w:r w:rsidR="00987199" w:rsidRPr="00987199">
        <w:t>énéral</w:t>
      </w:r>
      <w:r w:rsidR="00AF036C">
        <w:br/>
      </w:r>
      <w:r w:rsidR="00987199" w:rsidRPr="00987199">
        <w:t>(</w:t>
      </w:r>
      <w:r w:rsidR="00987199" w:rsidRPr="00987199">
        <w:rPr>
          <w:i/>
        </w:rPr>
        <w:t>Signé</w:t>
      </w:r>
      <w:r w:rsidR="00987199" w:rsidRPr="00987199">
        <w:t xml:space="preserve">) António </w:t>
      </w:r>
      <w:r w:rsidR="00987199" w:rsidRPr="00987199">
        <w:rPr>
          <w:b/>
        </w:rPr>
        <w:t>Guterres</w:t>
      </w:r>
    </w:p>
    <w:p w14:paraId="1BA748B2" w14:textId="2A82A22D" w:rsidR="00987199" w:rsidRPr="00AF036C" w:rsidRDefault="00AF036C" w:rsidP="00AF036C">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70945111" wp14:editId="6E0A51F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B28B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87199" w:rsidRPr="00AF036C" w:rsidSect="00987199">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7C6E5" w14:textId="77777777" w:rsidR="000E0D2E" w:rsidRDefault="000E0D2E" w:rsidP="00101B18">
      <w:pPr>
        <w:spacing w:line="240" w:lineRule="auto"/>
      </w:pPr>
      <w:r>
        <w:separator/>
      </w:r>
    </w:p>
  </w:endnote>
  <w:endnote w:type="continuationSeparator" w:id="0">
    <w:p w14:paraId="4E5C4219" w14:textId="77777777" w:rsidR="000E0D2E" w:rsidRDefault="000E0D2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F737E" w14:paraId="73D264D7" w14:textId="77777777" w:rsidTr="002F737E">
      <w:tc>
        <w:tcPr>
          <w:tcW w:w="4920" w:type="dxa"/>
          <w:shd w:val="clear" w:color="auto" w:fill="auto"/>
        </w:tcPr>
        <w:p w14:paraId="37FC0996" w14:textId="4F93C876" w:rsidR="002F737E" w:rsidRPr="002F737E" w:rsidRDefault="00D14DF8" w:rsidP="002F73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73B5">
            <w:rPr>
              <w:b w:val="0"/>
              <w:w w:val="103"/>
              <w:sz w:val="14"/>
            </w:rPr>
            <w:t>18-21498</w:t>
          </w:r>
          <w:r>
            <w:rPr>
              <w:b w:val="0"/>
              <w:w w:val="103"/>
              <w:sz w:val="14"/>
            </w:rPr>
            <w:fldChar w:fldCharType="end"/>
          </w:r>
        </w:p>
      </w:tc>
      <w:tc>
        <w:tcPr>
          <w:tcW w:w="4920" w:type="dxa"/>
          <w:shd w:val="clear" w:color="auto" w:fill="auto"/>
        </w:tcPr>
        <w:p w14:paraId="5B089895" w14:textId="77777777" w:rsidR="002F737E" w:rsidRPr="002F737E" w:rsidRDefault="002F737E" w:rsidP="002F737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9738EB4" w14:textId="77777777" w:rsidR="002F737E" w:rsidRPr="002F737E" w:rsidRDefault="002F737E" w:rsidP="002F7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F737E" w14:paraId="25E4E048" w14:textId="77777777" w:rsidTr="002F737E">
      <w:tc>
        <w:tcPr>
          <w:tcW w:w="4920" w:type="dxa"/>
          <w:shd w:val="clear" w:color="auto" w:fill="auto"/>
        </w:tcPr>
        <w:p w14:paraId="72E52645" w14:textId="77777777" w:rsidR="002F737E" w:rsidRPr="002F737E" w:rsidRDefault="002F737E" w:rsidP="002F737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BFA2185" w14:textId="4D9AA4D8" w:rsidR="002F737E" w:rsidRPr="002F737E" w:rsidRDefault="00D14DF8" w:rsidP="002F73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73B5">
            <w:rPr>
              <w:b w:val="0"/>
              <w:w w:val="103"/>
              <w:sz w:val="14"/>
            </w:rPr>
            <w:t>18-21498</w:t>
          </w:r>
          <w:r>
            <w:rPr>
              <w:b w:val="0"/>
              <w:w w:val="103"/>
              <w:sz w:val="14"/>
            </w:rPr>
            <w:fldChar w:fldCharType="end"/>
          </w:r>
        </w:p>
      </w:tc>
    </w:tr>
  </w:tbl>
  <w:p w14:paraId="587CF263" w14:textId="77777777" w:rsidR="002F737E" w:rsidRPr="002F737E" w:rsidRDefault="002F737E" w:rsidP="002F7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8BF9" w14:textId="5BA63572" w:rsidR="002F737E" w:rsidRDefault="00D14DF8">
    <w:pPr>
      <w:pStyle w:val="Footer"/>
    </w:pPr>
    <w:r>
      <w:rPr>
        <w:rFonts w:ascii="Barcode 3 of 9 by request" w:hAnsi="Barcode 3 of 9 by request"/>
        <w:b w:val="0"/>
        <w:noProof/>
        <w:spacing w:val="0"/>
        <w:w w:val="100"/>
        <w:sz w:val="24"/>
      </w:rPr>
      <w:drawing>
        <wp:anchor distT="0" distB="0" distL="114300" distR="114300" simplePos="0" relativeHeight="251658240" behindDoc="0" locked="0" layoutInCell="1" allowOverlap="1" wp14:anchorId="1A5471A1" wp14:editId="65A40D02">
          <wp:simplePos x="0" y="0"/>
          <wp:positionH relativeFrom="column">
            <wp:posOffset>5532120</wp:posOffset>
          </wp:positionH>
          <wp:positionV relativeFrom="paragraph">
            <wp:posOffset>-210185</wp:posOffset>
          </wp:positionV>
          <wp:extent cx="694690" cy="694690"/>
          <wp:effectExtent l="0" t="0" r="0" b="0"/>
          <wp:wrapNone/>
          <wp:docPr id="5" name="Picture 5" descr="https://undocs.org/m2/QRCode2.ashx?DS=ST/SGB/2015/4/Amen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2.ashx?DS=ST/SGB/2015/4/Amen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F737E" w14:paraId="04E2B1F5" w14:textId="77777777" w:rsidTr="002F737E">
      <w:tc>
        <w:tcPr>
          <w:tcW w:w="3758" w:type="dxa"/>
        </w:tcPr>
        <w:p w14:paraId="6445C47C" w14:textId="27C4B3D2" w:rsidR="002F737E" w:rsidRDefault="002F737E" w:rsidP="002F737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F73B5">
            <w:rPr>
              <w:b w:val="0"/>
              <w:sz w:val="20"/>
            </w:rPr>
            <w:t>18-21498 (F)</w:t>
          </w:r>
          <w:r>
            <w:rPr>
              <w:b w:val="0"/>
              <w:sz w:val="20"/>
            </w:rPr>
            <w:fldChar w:fldCharType="end"/>
          </w:r>
          <w:r>
            <w:rPr>
              <w:b w:val="0"/>
              <w:sz w:val="20"/>
            </w:rPr>
            <w:t xml:space="preserve">    </w:t>
          </w:r>
          <w:r w:rsidR="00AF036C">
            <w:rPr>
              <w:b w:val="0"/>
              <w:sz w:val="20"/>
            </w:rPr>
            <w:t>17</w:t>
          </w:r>
          <w:r>
            <w:rPr>
              <w:b w:val="0"/>
              <w:sz w:val="20"/>
            </w:rPr>
            <w:t>1218    211218</w:t>
          </w:r>
        </w:p>
        <w:p w14:paraId="638FAF52" w14:textId="1138F84C" w:rsidR="002F737E" w:rsidRPr="00D14DF8" w:rsidRDefault="00D14DF8" w:rsidP="00D14DF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*1821498*</w:t>
          </w:r>
        </w:p>
      </w:tc>
      <w:tc>
        <w:tcPr>
          <w:tcW w:w="4920" w:type="dxa"/>
        </w:tcPr>
        <w:p w14:paraId="1A45DAAC" w14:textId="77777777" w:rsidR="002F737E" w:rsidRDefault="002F737E" w:rsidP="002F737E">
          <w:pPr>
            <w:pStyle w:val="Footer"/>
            <w:spacing w:line="240" w:lineRule="atLeast"/>
            <w:jc w:val="right"/>
            <w:rPr>
              <w:b w:val="0"/>
              <w:sz w:val="20"/>
            </w:rPr>
          </w:pPr>
          <w:r>
            <w:rPr>
              <w:b w:val="0"/>
              <w:noProof/>
              <w:sz w:val="20"/>
            </w:rPr>
            <w:drawing>
              <wp:inline distT="0" distB="0" distL="0" distR="0" wp14:anchorId="496ACE1D" wp14:editId="2171FA3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7D1C3B2" w14:textId="77777777" w:rsidR="002F737E" w:rsidRPr="002F737E" w:rsidRDefault="002F737E" w:rsidP="002F737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ECDF0" w14:textId="77777777" w:rsidR="000E0D2E" w:rsidRDefault="000E0D2E" w:rsidP="00101B18">
      <w:pPr>
        <w:spacing w:line="240" w:lineRule="auto"/>
      </w:pPr>
      <w:r>
        <w:separator/>
      </w:r>
    </w:p>
  </w:footnote>
  <w:footnote w:type="continuationSeparator" w:id="0">
    <w:p w14:paraId="37FFBE17" w14:textId="77777777" w:rsidR="000E0D2E" w:rsidRDefault="000E0D2E"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F737E" w14:paraId="290D707A" w14:textId="77777777" w:rsidTr="002F737E">
      <w:trPr>
        <w:trHeight w:hRule="exact" w:val="864"/>
      </w:trPr>
      <w:tc>
        <w:tcPr>
          <w:tcW w:w="4920" w:type="dxa"/>
          <w:shd w:val="clear" w:color="auto" w:fill="auto"/>
          <w:vAlign w:val="bottom"/>
        </w:tcPr>
        <w:p w14:paraId="47673F9D" w14:textId="64C3A2B4" w:rsidR="002F737E" w:rsidRPr="002F737E" w:rsidRDefault="00D14DF8" w:rsidP="002F737E">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7F73B5">
            <w:rPr>
              <w:b/>
              <w:color w:val="000000"/>
            </w:rPr>
            <w:t>ST/SGB/2015/4/Amend.1</w:t>
          </w:r>
          <w:r>
            <w:rPr>
              <w:b/>
              <w:color w:val="000000"/>
            </w:rPr>
            <w:fldChar w:fldCharType="end"/>
          </w:r>
        </w:p>
      </w:tc>
      <w:tc>
        <w:tcPr>
          <w:tcW w:w="4920" w:type="dxa"/>
          <w:shd w:val="clear" w:color="auto" w:fill="auto"/>
          <w:vAlign w:val="bottom"/>
        </w:tcPr>
        <w:p w14:paraId="5F00496B" w14:textId="77777777" w:rsidR="002F737E" w:rsidRDefault="002F737E" w:rsidP="002F737E">
          <w:pPr>
            <w:pStyle w:val="Header"/>
          </w:pPr>
        </w:p>
      </w:tc>
    </w:tr>
  </w:tbl>
  <w:p w14:paraId="03A0D3A9" w14:textId="77777777" w:rsidR="002F737E" w:rsidRPr="002F737E" w:rsidRDefault="002F737E" w:rsidP="002F737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F737E" w14:paraId="015F348E" w14:textId="77777777" w:rsidTr="002F737E">
      <w:trPr>
        <w:trHeight w:hRule="exact" w:val="864"/>
      </w:trPr>
      <w:tc>
        <w:tcPr>
          <w:tcW w:w="4920" w:type="dxa"/>
          <w:shd w:val="clear" w:color="auto" w:fill="auto"/>
          <w:vAlign w:val="bottom"/>
        </w:tcPr>
        <w:p w14:paraId="215919E1" w14:textId="77777777" w:rsidR="002F737E" w:rsidRDefault="002F737E" w:rsidP="002F737E">
          <w:pPr>
            <w:pStyle w:val="Header"/>
          </w:pPr>
        </w:p>
      </w:tc>
      <w:tc>
        <w:tcPr>
          <w:tcW w:w="4920" w:type="dxa"/>
          <w:shd w:val="clear" w:color="auto" w:fill="auto"/>
          <w:vAlign w:val="bottom"/>
        </w:tcPr>
        <w:p w14:paraId="7242A274" w14:textId="4FC5378E" w:rsidR="002F737E" w:rsidRPr="002F737E" w:rsidRDefault="00D14DF8" w:rsidP="002F737E">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7F73B5">
            <w:rPr>
              <w:b/>
              <w:color w:val="000000"/>
            </w:rPr>
            <w:t>ST/SGB/2015/4/Amend.1</w:t>
          </w:r>
          <w:r>
            <w:rPr>
              <w:b/>
              <w:color w:val="000000"/>
            </w:rPr>
            <w:fldChar w:fldCharType="end"/>
          </w:r>
        </w:p>
      </w:tc>
    </w:tr>
  </w:tbl>
  <w:p w14:paraId="3C6FDB2A" w14:textId="77777777" w:rsidR="002F737E" w:rsidRPr="002F737E" w:rsidRDefault="002F737E" w:rsidP="002F737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F737E" w14:paraId="2EB637ED" w14:textId="77777777" w:rsidTr="002F737E">
      <w:trPr>
        <w:trHeight w:hRule="exact" w:val="864"/>
      </w:trPr>
      <w:tc>
        <w:tcPr>
          <w:tcW w:w="1267" w:type="dxa"/>
          <w:tcBorders>
            <w:bottom w:val="single" w:sz="4" w:space="0" w:color="auto"/>
          </w:tcBorders>
          <w:shd w:val="clear" w:color="auto" w:fill="auto"/>
          <w:vAlign w:val="bottom"/>
        </w:tcPr>
        <w:p w14:paraId="578DBEC8" w14:textId="77777777" w:rsidR="002F737E" w:rsidRDefault="002F737E" w:rsidP="002F737E">
          <w:pPr>
            <w:pStyle w:val="Header"/>
            <w:spacing w:after="120"/>
          </w:pPr>
        </w:p>
      </w:tc>
      <w:tc>
        <w:tcPr>
          <w:tcW w:w="2059" w:type="dxa"/>
          <w:tcBorders>
            <w:bottom w:val="single" w:sz="4" w:space="0" w:color="auto"/>
          </w:tcBorders>
          <w:shd w:val="clear" w:color="auto" w:fill="auto"/>
          <w:vAlign w:val="bottom"/>
        </w:tcPr>
        <w:p w14:paraId="73DCE7ED" w14:textId="77777777" w:rsidR="002F737E" w:rsidRPr="002F737E" w:rsidRDefault="002F737E" w:rsidP="002F737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CBA772A" w14:textId="77777777" w:rsidR="002F737E" w:rsidRDefault="002F737E" w:rsidP="002F737E">
          <w:pPr>
            <w:pStyle w:val="Header"/>
            <w:spacing w:after="120"/>
          </w:pPr>
        </w:p>
      </w:tc>
      <w:tc>
        <w:tcPr>
          <w:tcW w:w="6466" w:type="dxa"/>
          <w:gridSpan w:val="3"/>
          <w:tcBorders>
            <w:bottom w:val="single" w:sz="4" w:space="0" w:color="auto"/>
          </w:tcBorders>
          <w:shd w:val="clear" w:color="auto" w:fill="auto"/>
          <w:vAlign w:val="bottom"/>
        </w:tcPr>
        <w:p w14:paraId="187A8111" w14:textId="07F35E0E" w:rsidR="002F737E" w:rsidRPr="00D14DF8" w:rsidRDefault="00D14DF8" w:rsidP="00D14DF8">
          <w:pPr>
            <w:spacing w:after="80" w:line="240" w:lineRule="auto"/>
            <w:jc w:val="right"/>
            <w:rPr>
              <w:position w:val="-4"/>
            </w:rPr>
          </w:pPr>
          <w:r>
            <w:rPr>
              <w:position w:val="-4"/>
              <w:sz w:val="40"/>
            </w:rPr>
            <w:t>ST</w:t>
          </w:r>
          <w:r>
            <w:rPr>
              <w:position w:val="-4"/>
            </w:rPr>
            <w:t>/SGB/2015/4/Amend.1</w:t>
          </w:r>
        </w:p>
      </w:tc>
    </w:tr>
    <w:tr w:rsidR="002F737E" w:rsidRPr="002F737E" w14:paraId="49E56FDC" w14:textId="77777777" w:rsidTr="002F737E">
      <w:trPr>
        <w:trHeight w:hRule="exact" w:val="2880"/>
      </w:trPr>
      <w:tc>
        <w:tcPr>
          <w:tcW w:w="1267" w:type="dxa"/>
          <w:tcBorders>
            <w:top w:val="single" w:sz="4" w:space="0" w:color="auto"/>
            <w:bottom w:val="single" w:sz="12" w:space="0" w:color="auto"/>
          </w:tcBorders>
          <w:shd w:val="clear" w:color="auto" w:fill="auto"/>
        </w:tcPr>
        <w:p w14:paraId="1F8C5544" w14:textId="77777777" w:rsidR="002F737E" w:rsidRPr="002F737E" w:rsidRDefault="002F737E" w:rsidP="002F737E">
          <w:pPr>
            <w:pStyle w:val="Header"/>
            <w:spacing w:before="120" w:line="240" w:lineRule="auto"/>
            <w:ind w:left="-72"/>
            <w:jc w:val="center"/>
          </w:pPr>
          <w:r>
            <w:t xml:space="preserve">  </w:t>
          </w:r>
          <w:r>
            <w:rPr>
              <w:noProof/>
            </w:rPr>
            <w:drawing>
              <wp:inline distT="0" distB="0" distL="0" distR="0" wp14:anchorId="31DAE6A8" wp14:editId="35CF7E0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5AFE732" w14:textId="77777777" w:rsidR="002F737E" w:rsidRPr="002F737E" w:rsidRDefault="002F737E" w:rsidP="002F737E">
          <w:pPr>
            <w:pStyle w:val="XLarge"/>
            <w:spacing w:before="109"/>
          </w:pPr>
          <w:r>
            <w:t>Secrétariat</w:t>
          </w:r>
        </w:p>
      </w:tc>
      <w:tc>
        <w:tcPr>
          <w:tcW w:w="245" w:type="dxa"/>
          <w:tcBorders>
            <w:top w:val="single" w:sz="4" w:space="0" w:color="auto"/>
            <w:bottom w:val="single" w:sz="12" w:space="0" w:color="auto"/>
          </w:tcBorders>
          <w:shd w:val="clear" w:color="auto" w:fill="auto"/>
        </w:tcPr>
        <w:p w14:paraId="28454CAC" w14:textId="77777777" w:rsidR="002F737E" w:rsidRPr="002F737E" w:rsidRDefault="002F737E" w:rsidP="002F737E">
          <w:pPr>
            <w:pStyle w:val="Header"/>
            <w:spacing w:before="109"/>
          </w:pPr>
        </w:p>
      </w:tc>
      <w:tc>
        <w:tcPr>
          <w:tcW w:w="3110" w:type="dxa"/>
          <w:tcBorders>
            <w:top w:val="single" w:sz="4" w:space="0" w:color="auto"/>
            <w:bottom w:val="single" w:sz="12" w:space="0" w:color="auto"/>
          </w:tcBorders>
          <w:shd w:val="clear" w:color="auto" w:fill="auto"/>
        </w:tcPr>
        <w:p w14:paraId="059B1E5B" w14:textId="533C9D90" w:rsidR="002F737E" w:rsidRPr="00987199" w:rsidRDefault="002F737E" w:rsidP="002F737E">
          <w:pPr>
            <w:pStyle w:val="Distribution"/>
            <w:rPr>
              <w:color w:val="000000"/>
              <w:lang w:val="fr-FR"/>
            </w:rPr>
          </w:pPr>
        </w:p>
        <w:p w14:paraId="2AE8418E" w14:textId="2A447826" w:rsidR="002F737E" w:rsidRPr="00987199" w:rsidRDefault="00AF036C" w:rsidP="002F737E">
          <w:pPr>
            <w:pStyle w:val="Publication"/>
            <w:rPr>
              <w:color w:val="000000"/>
              <w:lang w:val="fr-FR"/>
            </w:rPr>
          </w:pPr>
          <w:r>
            <w:rPr>
              <w:color w:val="000000"/>
              <w:lang w:val="fr-FR"/>
            </w:rPr>
            <w:t>4</w:t>
          </w:r>
          <w:r w:rsidR="002F737E" w:rsidRPr="00987199">
            <w:rPr>
              <w:color w:val="000000"/>
              <w:lang w:val="fr-FR"/>
            </w:rPr>
            <w:t xml:space="preserve"> décembre 2018</w:t>
          </w:r>
        </w:p>
        <w:p w14:paraId="2E81F01E" w14:textId="00D0B129" w:rsidR="002F737E" w:rsidRPr="00987199" w:rsidRDefault="002F737E" w:rsidP="002F737E">
          <w:pPr>
            <w:pStyle w:val="Original"/>
            <w:rPr>
              <w:color w:val="000000"/>
              <w:lang w:val="fr-FR"/>
            </w:rPr>
          </w:pPr>
        </w:p>
      </w:tc>
    </w:tr>
  </w:tbl>
  <w:p w14:paraId="02013746" w14:textId="77777777" w:rsidR="002F737E" w:rsidRPr="00987199" w:rsidRDefault="002F737E" w:rsidP="002F737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48A8B1E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5BECE36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C17C64C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97C07"/>
    <w:multiLevelType w:val="hybridMultilevel"/>
    <w:tmpl w:val="A34C3836"/>
    <w:lvl w:ilvl="0" w:tplc="1BF6EE0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E5FC7DF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036D"/>
    <w:multiLevelType w:val="singleLevel"/>
    <w:tmpl w:val="B3FC5BC2"/>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4"/>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5"/>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1498"/>
    <w:docVar w:name="CreationDt" w:val="21/12/2018 5:29: PM"/>
    <w:docVar w:name="DocCategory" w:val="Doc"/>
    <w:docVar w:name="DocType" w:val="Final"/>
    <w:docVar w:name="DutyStation" w:val="New York"/>
    <w:docVar w:name="FooterJN" w:val="18-21498"/>
    <w:docVar w:name="jobn" w:val="18-21498 (F)"/>
    <w:docVar w:name="jobnDT" w:val="18-21498 (F)   211218   "/>
    <w:docVar w:name="jobnDTDT" w:val="18-21498 (F)   211218   211218"/>
    <w:docVar w:name="JobNo" w:val="1821498F"/>
    <w:docVar w:name="JobNo2" w:val="1842910F"/>
    <w:docVar w:name="LocalDrive" w:val="0"/>
    <w:docVar w:name="OandT" w:val="BHE"/>
    <w:docVar w:name="sss1" w:val="ST/SGB/2015/4/Amend.1"/>
    <w:docVar w:name="sss2" w:val="-"/>
    <w:docVar w:name="SuppJobNo" w:val="18-21498"/>
    <w:docVar w:name="Symbol1" w:val="ST/SGB/2015/4/Amend.1"/>
    <w:docVar w:name="Symbol2" w:val="-"/>
  </w:docVars>
  <w:rsids>
    <w:rsidRoot w:val="000E0D2E"/>
    <w:rsid w:val="00002584"/>
    <w:rsid w:val="00034294"/>
    <w:rsid w:val="000374A2"/>
    <w:rsid w:val="00071D43"/>
    <w:rsid w:val="000722C4"/>
    <w:rsid w:val="00082144"/>
    <w:rsid w:val="00082F76"/>
    <w:rsid w:val="000A067B"/>
    <w:rsid w:val="000A2A5B"/>
    <w:rsid w:val="000C2FD7"/>
    <w:rsid w:val="000E0D2E"/>
    <w:rsid w:val="000E2B86"/>
    <w:rsid w:val="000F5BF0"/>
    <w:rsid w:val="00101B18"/>
    <w:rsid w:val="00107EA2"/>
    <w:rsid w:val="001125EE"/>
    <w:rsid w:val="0011387B"/>
    <w:rsid w:val="00122A56"/>
    <w:rsid w:val="001248C6"/>
    <w:rsid w:val="00127B74"/>
    <w:rsid w:val="00134FEE"/>
    <w:rsid w:val="001360AE"/>
    <w:rsid w:val="00146C6A"/>
    <w:rsid w:val="0014728E"/>
    <w:rsid w:val="00166A0D"/>
    <w:rsid w:val="00170F1D"/>
    <w:rsid w:val="001716B7"/>
    <w:rsid w:val="00183AFB"/>
    <w:rsid w:val="001B14EC"/>
    <w:rsid w:val="001B6D8B"/>
    <w:rsid w:val="001C5FBC"/>
    <w:rsid w:val="001D796D"/>
    <w:rsid w:val="001E05C8"/>
    <w:rsid w:val="001E4B50"/>
    <w:rsid w:val="001E5373"/>
    <w:rsid w:val="002078F8"/>
    <w:rsid w:val="0021617B"/>
    <w:rsid w:val="002169E2"/>
    <w:rsid w:val="002227A0"/>
    <w:rsid w:val="002246A3"/>
    <w:rsid w:val="0023364C"/>
    <w:rsid w:val="0024517D"/>
    <w:rsid w:val="002478A0"/>
    <w:rsid w:val="00250700"/>
    <w:rsid w:val="00256DA2"/>
    <w:rsid w:val="002664E2"/>
    <w:rsid w:val="00271782"/>
    <w:rsid w:val="00273A93"/>
    <w:rsid w:val="002808BC"/>
    <w:rsid w:val="002820FB"/>
    <w:rsid w:val="0029074F"/>
    <w:rsid w:val="002A5E20"/>
    <w:rsid w:val="002E0B6E"/>
    <w:rsid w:val="002F40EA"/>
    <w:rsid w:val="002F737E"/>
    <w:rsid w:val="0031540F"/>
    <w:rsid w:val="0031712A"/>
    <w:rsid w:val="00327991"/>
    <w:rsid w:val="003315EE"/>
    <w:rsid w:val="00350957"/>
    <w:rsid w:val="003522F1"/>
    <w:rsid w:val="003628A4"/>
    <w:rsid w:val="003646F3"/>
    <w:rsid w:val="00364B6E"/>
    <w:rsid w:val="00365839"/>
    <w:rsid w:val="00366D21"/>
    <w:rsid w:val="0038470B"/>
    <w:rsid w:val="003955B2"/>
    <w:rsid w:val="003A675A"/>
    <w:rsid w:val="003B111F"/>
    <w:rsid w:val="003F1E81"/>
    <w:rsid w:val="003F61E1"/>
    <w:rsid w:val="003F78C4"/>
    <w:rsid w:val="003F7C64"/>
    <w:rsid w:val="004166BC"/>
    <w:rsid w:val="00424D0F"/>
    <w:rsid w:val="00440C93"/>
    <w:rsid w:val="00447061"/>
    <w:rsid w:val="00480B84"/>
    <w:rsid w:val="0048278B"/>
    <w:rsid w:val="00493E5A"/>
    <w:rsid w:val="004B1B10"/>
    <w:rsid w:val="004B64F9"/>
    <w:rsid w:val="004C1A25"/>
    <w:rsid w:val="004C7B76"/>
    <w:rsid w:val="004D4E3B"/>
    <w:rsid w:val="004F77D8"/>
    <w:rsid w:val="005052DE"/>
    <w:rsid w:val="00515991"/>
    <w:rsid w:val="005225EC"/>
    <w:rsid w:val="00525097"/>
    <w:rsid w:val="005509B6"/>
    <w:rsid w:val="00553C0E"/>
    <w:rsid w:val="00564F76"/>
    <w:rsid w:val="005661B0"/>
    <w:rsid w:val="00586F3C"/>
    <w:rsid w:val="00592C73"/>
    <w:rsid w:val="005B4EB2"/>
    <w:rsid w:val="005D7CFF"/>
    <w:rsid w:val="005F1F5F"/>
    <w:rsid w:val="006165D9"/>
    <w:rsid w:val="00634666"/>
    <w:rsid w:val="00641270"/>
    <w:rsid w:val="006635F5"/>
    <w:rsid w:val="006650B0"/>
    <w:rsid w:val="006672B3"/>
    <w:rsid w:val="006903F4"/>
    <w:rsid w:val="00690698"/>
    <w:rsid w:val="006A1D48"/>
    <w:rsid w:val="006A49E5"/>
    <w:rsid w:val="006A781A"/>
    <w:rsid w:val="006A7933"/>
    <w:rsid w:val="006B04FF"/>
    <w:rsid w:val="006D1A13"/>
    <w:rsid w:val="006E4A4B"/>
    <w:rsid w:val="00742261"/>
    <w:rsid w:val="00742ABE"/>
    <w:rsid w:val="00743B40"/>
    <w:rsid w:val="007459AE"/>
    <w:rsid w:val="007531A5"/>
    <w:rsid w:val="00756BF1"/>
    <w:rsid w:val="00764ABC"/>
    <w:rsid w:val="00771C9E"/>
    <w:rsid w:val="00794451"/>
    <w:rsid w:val="007B6B08"/>
    <w:rsid w:val="007C7FF4"/>
    <w:rsid w:val="007D1FB6"/>
    <w:rsid w:val="007D521A"/>
    <w:rsid w:val="007E512B"/>
    <w:rsid w:val="007F73B5"/>
    <w:rsid w:val="00804262"/>
    <w:rsid w:val="00805B0B"/>
    <w:rsid w:val="00806820"/>
    <w:rsid w:val="00807A26"/>
    <w:rsid w:val="0082045E"/>
    <w:rsid w:val="00820E2D"/>
    <w:rsid w:val="008222A3"/>
    <w:rsid w:val="008342DB"/>
    <w:rsid w:val="00886496"/>
    <w:rsid w:val="008A1DAA"/>
    <w:rsid w:val="008A21C3"/>
    <w:rsid w:val="008A6F48"/>
    <w:rsid w:val="008C0BE8"/>
    <w:rsid w:val="008C49C7"/>
    <w:rsid w:val="008E35B0"/>
    <w:rsid w:val="008E6581"/>
    <w:rsid w:val="008F1A04"/>
    <w:rsid w:val="008F3462"/>
    <w:rsid w:val="008F3603"/>
    <w:rsid w:val="00931032"/>
    <w:rsid w:val="00932894"/>
    <w:rsid w:val="00935932"/>
    <w:rsid w:val="0093619A"/>
    <w:rsid w:val="009466DF"/>
    <w:rsid w:val="00954BB9"/>
    <w:rsid w:val="00962D4A"/>
    <w:rsid w:val="00967579"/>
    <w:rsid w:val="00972C2A"/>
    <w:rsid w:val="00973C0B"/>
    <w:rsid w:val="00987199"/>
    <w:rsid w:val="00993CB7"/>
    <w:rsid w:val="009C1E9C"/>
    <w:rsid w:val="009C24A5"/>
    <w:rsid w:val="009D0EE3"/>
    <w:rsid w:val="009D1D8C"/>
    <w:rsid w:val="009E29BA"/>
    <w:rsid w:val="00A20E8F"/>
    <w:rsid w:val="00A2494D"/>
    <w:rsid w:val="00A50E05"/>
    <w:rsid w:val="00A5301A"/>
    <w:rsid w:val="00A53578"/>
    <w:rsid w:val="00A536A1"/>
    <w:rsid w:val="00A93436"/>
    <w:rsid w:val="00AB0B7D"/>
    <w:rsid w:val="00AC0694"/>
    <w:rsid w:val="00AC0C0D"/>
    <w:rsid w:val="00AD5F2F"/>
    <w:rsid w:val="00AD7ACD"/>
    <w:rsid w:val="00AF036C"/>
    <w:rsid w:val="00B041EB"/>
    <w:rsid w:val="00B14A3A"/>
    <w:rsid w:val="00B221F5"/>
    <w:rsid w:val="00B23617"/>
    <w:rsid w:val="00B3533B"/>
    <w:rsid w:val="00B62829"/>
    <w:rsid w:val="00B858D5"/>
    <w:rsid w:val="00BA04C8"/>
    <w:rsid w:val="00BA40FA"/>
    <w:rsid w:val="00BA6A3A"/>
    <w:rsid w:val="00BA6D13"/>
    <w:rsid w:val="00BE67AC"/>
    <w:rsid w:val="00C02D94"/>
    <w:rsid w:val="00C14917"/>
    <w:rsid w:val="00C15649"/>
    <w:rsid w:val="00C27B44"/>
    <w:rsid w:val="00C34A84"/>
    <w:rsid w:val="00C4395F"/>
    <w:rsid w:val="00C50B2B"/>
    <w:rsid w:val="00C70C47"/>
    <w:rsid w:val="00C7639E"/>
    <w:rsid w:val="00C80AC5"/>
    <w:rsid w:val="00C80F53"/>
    <w:rsid w:val="00C8155B"/>
    <w:rsid w:val="00C958A1"/>
    <w:rsid w:val="00CA5053"/>
    <w:rsid w:val="00CB06FB"/>
    <w:rsid w:val="00CB63C5"/>
    <w:rsid w:val="00CC614B"/>
    <w:rsid w:val="00D00FCE"/>
    <w:rsid w:val="00D0490B"/>
    <w:rsid w:val="00D14DF8"/>
    <w:rsid w:val="00D16C31"/>
    <w:rsid w:val="00D23F10"/>
    <w:rsid w:val="00D30EED"/>
    <w:rsid w:val="00D826FF"/>
    <w:rsid w:val="00D82819"/>
    <w:rsid w:val="00D94AD1"/>
    <w:rsid w:val="00DA0DD8"/>
    <w:rsid w:val="00DD141F"/>
    <w:rsid w:val="00DD17BB"/>
    <w:rsid w:val="00DD4957"/>
    <w:rsid w:val="00DE1A46"/>
    <w:rsid w:val="00DE399A"/>
    <w:rsid w:val="00E343A6"/>
    <w:rsid w:val="00E7105F"/>
    <w:rsid w:val="00E71A2E"/>
    <w:rsid w:val="00E753D6"/>
    <w:rsid w:val="00E75BB8"/>
    <w:rsid w:val="00E86242"/>
    <w:rsid w:val="00EB2F27"/>
    <w:rsid w:val="00EB4204"/>
    <w:rsid w:val="00EB4D56"/>
    <w:rsid w:val="00EB60ED"/>
    <w:rsid w:val="00EE37EC"/>
    <w:rsid w:val="00EF2DFA"/>
    <w:rsid w:val="00EF76D5"/>
    <w:rsid w:val="00F069FF"/>
    <w:rsid w:val="00F13847"/>
    <w:rsid w:val="00F46A21"/>
    <w:rsid w:val="00F5012D"/>
    <w:rsid w:val="00F61D8C"/>
    <w:rsid w:val="00F66D4E"/>
    <w:rsid w:val="00F723A8"/>
    <w:rsid w:val="00F73093"/>
    <w:rsid w:val="00F92EC8"/>
    <w:rsid w:val="00FA3D05"/>
    <w:rsid w:val="00FA5CC9"/>
    <w:rsid w:val="00FA7F75"/>
    <w:rsid w:val="00FB0A2C"/>
    <w:rsid w:val="00FB2D67"/>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8D4FE"/>
  <w15:chartTrackingRefBased/>
  <w15:docId w15:val="{5BC7C75F-6A2B-49A8-B568-D40A14F0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3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A7933"/>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A7933"/>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A7933"/>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A7933"/>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A7933"/>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A7933"/>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A7933"/>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A7933"/>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A7933"/>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A7933"/>
    <w:pPr>
      <w:keepNext/>
      <w:keepLines/>
      <w:suppressAutoHyphens/>
      <w:spacing w:line="270" w:lineRule="exact"/>
      <w:outlineLvl w:val="0"/>
    </w:pPr>
    <w:rPr>
      <w:b/>
      <w:sz w:val="24"/>
    </w:rPr>
  </w:style>
  <w:style w:type="paragraph" w:customStyle="1" w:styleId="HCH">
    <w:name w:val="_ H _CH"/>
    <w:basedOn w:val="H1"/>
    <w:next w:val="SingleTxt"/>
    <w:qFormat/>
    <w:rsid w:val="006A7933"/>
    <w:pPr>
      <w:spacing w:line="300" w:lineRule="exact"/>
    </w:pPr>
    <w:rPr>
      <w:spacing w:val="-2"/>
      <w:sz w:val="28"/>
    </w:rPr>
  </w:style>
  <w:style w:type="paragraph" w:customStyle="1" w:styleId="HM">
    <w:name w:val="_ H __M"/>
    <w:basedOn w:val="HCH"/>
    <w:next w:val="Normal"/>
    <w:qFormat/>
    <w:rsid w:val="006A7933"/>
    <w:pPr>
      <w:spacing w:line="360" w:lineRule="exact"/>
    </w:pPr>
    <w:rPr>
      <w:spacing w:val="-3"/>
      <w:w w:val="99"/>
      <w:sz w:val="34"/>
    </w:rPr>
  </w:style>
  <w:style w:type="paragraph" w:customStyle="1" w:styleId="H23">
    <w:name w:val="_ H_2/3"/>
    <w:basedOn w:val="H1"/>
    <w:next w:val="SingleTxt"/>
    <w:qFormat/>
    <w:rsid w:val="006A7933"/>
    <w:pPr>
      <w:spacing w:line="240" w:lineRule="exact"/>
      <w:outlineLvl w:val="1"/>
    </w:pPr>
    <w:rPr>
      <w:spacing w:val="2"/>
      <w:sz w:val="20"/>
    </w:rPr>
  </w:style>
  <w:style w:type="paragraph" w:customStyle="1" w:styleId="H4">
    <w:name w:val="_ H_4"/>
    <w:basedOn w:val="Normal"/>
    <w:next w:val="Normal"/>
    <w:qFormat/>
    <w:rsid w:val="006A7933"/>
    <w:pPr>
      <w:keepNext/>
      <w:keepLines/>
      <w:tabs>
        <w:tab w:val="right" w:pos="360"/>
      </w:tabs>
      <w:suppressAutoHyphens/>
      <w:outlineLvl w:val="3"/>
    </w:pPr>
    <w:rPr>
      <w:i/>
      <w:spacing w:val="3"/>
    </w:rPr>
  </w:style>
  <w:style w:type="paragraph" w:customStyle="1" w:styleId="H56">
    <w:name w:val="_ H_5/6"/>
    <w:basedOn w:val="Normal"/>
    <w:next w:val="Normal"/>
    <w:qFormat/>
    <w:rsid w:val="006A793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A79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A793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A7933"/>
    <w:pPr>
      <w:spacing w:line="540" w:lineRule="exact"/>
    </w:pPr>
    <w:rPr>
      <w:spacing w:val="-8"/>
      <w:w w:val="96"/>
      <w:sz w:val="57"/>
    </w:rPr>
  </w:style>
  <w:style w:type="paragraph" w:customStyle="1" w:styleId="SS">
    <w:name w:val="__S_S"/>
    <w:basedOn w:val="HCH"/>
    <w:next w:val="Normal"/>
    <w:qFormat/>
    <w:rsid w:val="006A7933"/>
    <w:pPr>
      <w:ind w:left="1267" w:right="1267"/>
    </w:pPr>
  </w:style>
  <w:style w:type="paragraph" w:customStyle="1" w:styleId="SingleTxt">
    <w:name w:val="__Single Txt"/>
    <w:basedOn w:val="Normal"/>
    <w:qFormat/>
    <w:rsid w:val="006A79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A793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A79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A793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A793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793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A7933"/>
    <w:pPr>
      <w:numPr>
        <w:numId w:val="29"/>
      </w:numPr>
      <w:spacing w:after="120"/>
      <w:ind w:right="1267"/>
      <w:jc w:val="both"/>
    </w:pPr>
  </w:style>
  <w:style w:type="paragraph" w:customStyle="1" w:styleId="Bullet2">
    <w:name w:val="Bullet 2"/>
    <w:basedOn w:val="Normal"/>
    <w:qFormat/>
    <w:rsid w:val="006A7933"/>
    <w:pPr>
      <w:numPr>
        <w:numId w:val="30"/>
      </w:numPr>
      <w:spacing w:after="120"/>
      <w:ind w:right="1264"/>
      <w:jc w:val="both"/>
    </w:pPr>
  </w:style>
  <w:style w:type="paragraph" w:customStyle="1" w:styleId="Bullet3">
    <w:name w:val="Bullet 3"/>
    <w:basedOn w:val="SingleTxt"/>
    <w:qFormat/>
    <w:rsid w:val="006A7933"/>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793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A793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A7933"/>
    <w:pPr>
      <w:spacing w:line="210" w:lineRule="exact"/>
    </w:pPr>
    <w:rPr>
      <w:sz w:val="17"/>
      <w:szCs w:val="20"/>
    </w:rPr>
  </w:style>
  <w:style w:type="character" w:customStyle="1" w:styleId="EndnoteTextChar">
    <w:name w:val="Endnote Text Char"/>
    <w:link w:val="EndnoteText"/>
    <w:uiPriority w:val="99"/>
    <w:semiHidden/>
    <w:rsid w:val="006A793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A793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A793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6A793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A7933"/>
    <w:pPr>
      <w:spacing w:line="210" w:lineRule="exact"/>
    </w:pPr>
    <w:rPr>
      <w:sz w:val="17"/>
      <w:szCs w:val="20"/>
    </w:rPr>
  </w:style>
  <w:style w:type="character" w:customStyle="1" w:styleId="FootnoteTextChar">
    <w:name w:val="Footnote Text Char"/>
    <w:link w:val="FootnoteText"/>
    <w:uiPriority w:val="99"/>
    <w:rsid w:val="006A793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A793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A793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A793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A793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A793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A793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A793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A793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A793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A793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A793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A7933"/>
    <w:rPr>
      <w:sz w:val="14"/>
    </w:rPr>
  </w:style>
  <w:style w:type="paragraph" w:styleId="ListParagraph">
    <w:name w:val="List Paragraph"/>
    <w:basedOn w:val="Normal"/>
    <w:uiPriority w:val="34"/>
    <w:rsid w:val="006A7933"/>
    <w:pPr>
      <w:ind w:left="720"/>
      <w:contextualSpacing/>
    </w:pPr>
  </w:style>
  <w:style w:type="paragraph" w:styleId="NoSpacing">
    <w:name w:val="No Spacing"/>
    <w:uiPriority w:val="1"/>
    <w:rsid w:val="006A793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A793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A793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A793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A7933"/>
    <w:pPr>
      <w:tabs>
        <w:tab w:val="right" w:pos="9965"/>
      </w:tabs>
      <w:spacing w:line="210" w:lineRule="exact"/>
    </w:pPr>
    <w:rPr>
      <w:spacing w:val="5"/>
      <w:w w:val="104"/>
      <w:sz w:val="17"/>
    </w:rPr>
  </w:style>
  <w:style w:type="paragraph" w:customStyle="1" w:styleId="SmallX">
    <w:name w:val="SmallX"/>
    <w:basedOn w:val="Small"/>
    <w:next w:val="Normal"/>
    <w:qFormat/>
    <w:rsid w:val="006A7933"/>
    <w:pPr>
      <w:spacing w:line="180" w:lineRule="exact"/>
      <w:jc w:val="right"/>
    </w:pPr>
    <w:rPr>
      <w:spacing w:val="6"/>
      <w:w w:val="106"/>
      <w:sz w:val="14"/>
    </w:rPr>
  </w:style>
  <w:style w:type="character" w:styleId="Strong">
    <w:name w:val="Strong"/>
    <w:uiPriority w:val="22"/>
    <w:rsid w:val="006A7933"/>
    <w:rPr>
      <w:b/>
      <w:bCs/>
    </w:rPr>
  </w:style>
  <w:style w:type="paragraph" w:customStyle="1" w:styleId="Style1">
    <w:name w:val="Style1"/>
    <w:basedOn w:val="Normal"/>
    <w:qFormat/>
    <w:rsid w:val="006A7933"/>
  </w:style>
  <w:style w:type="paragraph" w:customStyle="1" w:styleId="Style2">
    <w:name w:val="Style2"/>
    <w:basedOn w:val="Normal"/>
    <w:autoRedefine/>
    <w:qFormat/>
    <w:rsid w:val="006A7933"/>
  </w:style>
  <w:style w:type="paragraph" w:customStyle="1" w:styleId="TitleHCH">
    <w:name w:val="Title_H_CH"/>
    <w:basedOn w:val="H1"/>
    <w:next w:val="Normal"/>
    <w:qFormat/>
    <w:rsid w:val="006A79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A79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A793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2F737E"/>
    <w:rPr>
      <w:sz w:val="16"/>
      <w:szCs w:val="16"/>
    </w:rPr>
  </w:style>
  <w:style w:type="paragraph" w:styleId="CommentText">
    <w:name w:val="annotation text"/>
    <w:basedOn w:val="Normal"/>
    <w:link w:val="CommentTextChar"/>
    <w:uiPriority w:val="99"/>
    <w:unhideWhenUsed/>
    <w:rsid w:val="002F737E"/>
    <w:pPr>
      <w:spacing w:line="240" w:lineRule="auto"/>
    </w:pPr>
    <w:rPr>
      <w:szCs w:val="20"/>
    </w:rPr>
  </w:style>
  <w:style w:type="character" w:customStyle="1" w:styleId="CommentTextChar">
    <w:name w:val="Comment Text Char"/>
    <w:basedOn w:val="DefaultParagraphFont"/>
    <w:link w:val="CommentText"/>
    <w:uiPriority w:val="99"/>
    <w:rsid w:val="002F737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F737E"/>
    <w:rPr>
      <w:b/>
      <w:bCs/>
    </w:rPr>
  </w:style>
  <w:style w:type="character" w:customStyle="1" w:styleId="CommentSubjectChar">
    <w:name w:val="Comment Subject Char"/>
    <w:basedOn w:val="CommentTextChar"/>
    <w:link w:val="CommentSubject"/>
    <w:uiPriority w:val="99"/>
    <w:semiHidden/>
    <w:rsid w:val="002F737E"/>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F036C"/>
    <w:rPr>
      <w:color w:val="0000FF" w:themeColor="hyperlink"/>
      <w:u w:val="none"/>
    </w:rPr>
  </w:style>
  <w:style w:type="character" w:styleId="FollowedHyperlink">
    <w:name w:val="FollowedHyperlink"/>
    <w:basedOn w:val="DefaultParagraphFont"/>
    <w:uiPriority w:val="99"/>
    <w:semiHidden/>
    <w:unhideWhenUsed/>
    <w:rsid w:val="00AF036C"/>
    <w:rPr>
      <w:color w:val="0000FF"/>
      <w:u w:val="none"/>
    </w:rPr>
  </w:style>
  <w:style w:type="character" w:styleId="UnresolvedMention">
    <w:name w:val="Unresolved Mention"/>
    <w:basedOn w:val="DefaultParagraphFont"/>
    <w:uiPriority w:val="99"/>
    <w:semiHidden/>
    <w:unhideWhenUsed/>
    <w:rsid w:val="00AF03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19/2" TargetMode="External"/><Relationship Id="rId18" Type="http://schemas.openxmlformats.org/officeDocument/2006/relationships/hyperlink" Target="https://undocs.org/fr/ST/SGB/2015/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SGB/2013/4/Amend.1" TargetMode="External"/><Relationship Id="rId2" Type="http://schemas.openxmlformats.org/officeDocument/2006/relationships/styles" Target="styles.xml"/><Relationship Id="rId16" Type="http://schemas.openxmlformats.org/officeDocument/2006/relationships/hyperlink" Target="https://undocs.org/fr/ST/SGB/20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SGB/2015/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SGB/2015/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Diana C. Guiu</cp:lastModifiedBy>
  <cp:revision>2</cp:revision>
  <cp:lastPrinted>2018-12-27T17:53:00Z</cp:lastPrinted>
  <dcterms:created xsi:type="dcterms:W3CDTF">2019-01-04T20:15:00Z</dcterms:created>
  <dcterms:modified xsi:type="dcterms:W3CDTF">2019-01-04T20:15:00Z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1842910F</vt:lpwstr>
  </property>
  <property fmtid="{D5CDD505-2E9C-101B-9397-08002B2CF9AE}" pid="3" name="Symbol2">
    <vt:lpwstr/>
  </property>
  <property fmtid="{D5CDD505-2E9C-101B-9397-08002B2CF9AE}" pid="4" name="Translator">
    <vt:lpwstr/>
  </property>
  <property fmtid="{D5CDD505-2E9C-101B-9397-08002B2CF9AE}" pid="5" name="Category">
    <vt:lpwstr>Document</vt:lpwstr>
  </property>
  <property fmtid="{D5CDD505-2E9C-101B-9397-08002B2CF9AE}" pid="6" name="Language">
    <vt:lpwstr>French</vt:lpwstr>
  </property>
  <property fmtid="{D5CDD505-2E9C-101B-9397-08002B2CF9AE}" pid="7" name="Symbol1">
    <vt:lpwstr>ST/SGB/2015/4/Amend.1</vt:lpwstr>
  </property>
  <property fmtid="{D5CDD505-2E9C-101B-9397-08002B2CF9AE}" pid="8" name="JobNo">
    <vt:lpwstr>1821498F</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Publication Date">
    <vt:lpwstr>4 décembre 2018</vt:lpwstr>
  </property>
  <property fmtid="{D5CDD505-2E9C-101B-9397-08002B2CF9AE}" pid="13" name="Release Date">
    <vt:lpwstr/>
  </property>
  <property fmtid="{D5CDD505-2E9C-101B-9397-08002B2CF9AE}" pid="14" name="Title1">
    <vt:lpwstr>		Circulaire du Secrétaire général_x000d_</vt:lpwstr>
  </property>
  <property fmtid="{D5CDD505-2E9C-101B-9397-08002B2CF9AE}" pid="15" name="Title2">
    <vt:lpwstr>		Supplément au Règlement financier et aux règles de gestion financières de l’Organisation des Nations Unies_x000d_</vt:lpwstr>
  </property>
</Properties>
</file>