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65453" w14:textId="77777777" w:rsidR="00077EC1" w:rsidRDefault="00077EC1" w:rsidP="00077EC1">
      <w:pPr>
        <w:spacing w:line="240" w:lineRule="auto"/>
        <w:rPr>
          <w:sz w:val="2"/>
        </w:rPr>
        <w:sectPr w:rsidR="00077EC1" w:rsidSect="00A63696">
          <w:headerReference w:type="even" r:id="rId8"/>
          <w:headerReference w:type="default" r:id="rId9"/>
          <w:footerReference w:type="even" r:id="rId10"/>
          <w:footerReference w:type="default" r:id="rId11"/>
          <w:headerReference w:type="first" r:id="rId12"/>
          <w:footerReference w:type="first" r:id="rId13"/>
          <w:pgSz w:w="12240" w:h="15840"/>
          <w:pgMar w:top="1440" w:right="1200" w:bottom="1728" w:left="1200" w:header="432" w:footer="576" w:gutter="0"/>
          <w:cols w:space="720"/>
          <w:titlePg/>
          <w:docGrid w:linePitch="360"/>
        </w:sectPr>
      </w:pPr>
      <w:bookmarkStart w:id="0" w:name="_GoBack"/>
      <w:bookmarkEnd w:id="0"/>
    </w:p>
    <w:p w14:paraId="397BA2C4" w14:textId="3DC1304B" w:rsidR="00A63696" w:rsidRPr="00A63696" w:rsidRDefault="00A63696" w:rsidP="00A63696">
      <w:pPr>
        <w:pStyle w:val="TitleHCH"/>
        <w:rPr>
          <w:lang w:val="fr-FR"/>
        </w:rPr>
      </w:pPr>
      <w:r>
        <w:rPr>
          <w:lang w:val="fr-FR"/>
        </w:rPr>
        <w:tab/>
      </w:r>
      <w:r>
        <w:rPr>
          <w:lang w:val="fr-FR"/>
        </w:rPr>
        <w:tab/>
      </w:r>
      <w:r w:rsidRPr="00A63696">
        <w:rPr>
          <w:lang w:val="fr-FR"/>
        </w:rPr>
        <w:t>Circulaire du Secrétaire général</w:t>
      </w:r>
    </w:p>
    <w:p w14:paraId="57201045" w14:textId="37668ECE" w:rsidR="00A63696" w:rsidRPr="00A63696" w:rsidRDefault="00A63696" w:rsidP="00A63696">
      <w:pPr>
        <w:pStyle w:val="SingleTxt"/>
        <w:spacing w:after="0" w:line="120" w:lineRule="exact"/>
        <w:rPr>
          <w:sz w:val="10"/>
          <w:lang w:val="fr-FR"/>
        </w:rPr>
      </w:pPr>
    </w:p>
    <w:p w14:paraId="74813B57" w14:textId="1CCE75E3" w:rsidR="00A63696" w:rsidRPr="00A63696" w:rsidRDefault="00A63696" w:rsidP="00A63696">
      <w:pPr>
        <w:pStyle w:val="SingleTxt"/>
        <w:spacing w:after="0" w:line="120" w:lineRule="exact"/>
        <w:rPr>
          <w:sz w:val="10"/>
          <w:lang w:val="fr-FR"/>
        </w:rPr>
      </w:pPr>
    </w:p>
    <w:p w14:paraId="681A518E" w14:textId="6F9D4CE0" w:rsidR="00A63696" w:rsidRPr="00A63696" w:rsidRDefault="00A63696" w:rsidP="00A63696">
      <w:pPr>
        <w:pStyle w:val="TitleH1"/>
        <w:rPr>
          <w:lang w:val="fr-FR"/>
        </w:rPr>
      </w:pPr>
      <w:r w:rsidRPr="00A63696">
        <w:rPr>
          <w:lang w:val="fr-FR"/>
        </w:rPr>
        <w:tab/>
      </w:r>
      <w:bookmarkStart w:id="1" w:name="_Hlk527996674"/>
      <w:r w:rsidRPr="00A63696">
        <w:rPr>
          <w:lang w:val="fr-FR"/>
        </w:rPr>
        <w:tab/>
        <w:t>Politique environnementale applicable au Secrétariat de</w:t>
      </w:r>
      <w:r>
        <w:rPr>
          <w:lang w:val="fr-FR"/>
        </w:rPr>
        <w:t> </w:t>
      </w:r>
      <w:r w:rsidRPr="00A63696">
        <w:rPr>
          <w:lang w:val="fr-FR"/>
        </w:rPr>
        <w:t>l</w:t>
      </w:r>
      <w:r>
        <w:rPr>
          <w:lang w:val="fr-FR"/>
        </w:rPr>
        <w:t>’</w:t>
      </w:r>
      <w:r w:rsidRPr="00A63696">
        <w:rPr>
          <w:lang w:val="fr-FR"/>
        </w:rPr>
        <w:t>Organisation des Nations Unies</w:t>
      </w:r>
      <w:bookmarkEnd w:id="1"/>
    </w:p>
    <w:p w14:paraId="54B79B50" w14:textId="1E5F694E" w:rsidR="00A63696" w:rsidRPr="00A63696" w:rsidRDefault="00A63696" w:rsidP="00A63696">
      <w:pPr>
        <w:pStyle w:val="SingleTxt"/>
        <w:spacing w:after="0" w:line="120" w:lineRule="exact"/>
        <w:rPr>
          <w:sz w:val="10"/>
          <w:lang w:val="fr-FR"/>
        </w:rPr>
      </w:pPr>
    </w:p>
    <w:p w14:paraId="4D579F4A" w14:textId="3586BE70" w:rsidR="00A63696" w:rsidRPr="00A63696" w:rsidRDefault="00A63696" w:rsidP="00A63696">
      <w:pPr>
        <w:pStyle w:val="SingleTxt"/>
        <w:spacing w:after="0" w:line="120" w:lineRule="exact"/>
        <w:rPr>
          <w:sz w:val="10"/>
          <w:lang w:val="fr-FR"/>
        </w:rPr>
      </w:pPr>
    </w:p>
    <w:p w14:paraId="59BBFEA6" w14:textId="17C52574" w:rsidR="00A63696" w:rsidRPr="00A63696" w:rsidRDefault="00A63696" w:rsidP="00A63696">
      <w:pPr>
        <w:pStyle w:val="SingleTxt"/>
        <w:numPr>
          <w:ilvl w:val="0"/>
          <w:numId w:val="35"/>
        </w:numPr>
        <w:spacing w:line="240" w:lineRule="exact"/>
        <w:ind w:left="1267"/>
        <w:rPr>
          <w:b/>
          <w:lang w:val="fr-FR"/>
        </w:rPr>
      </w:pPr>
      <w:r w:rsidRPr="00A63696">
        <w:rPr>
          <w:lang w:val="fr-FR"/>
        </w:rPr>
        <w:t>Le sort de l</w:t>
      </w:r>
      <w:r>
        <w:rPr>
          <w:lang w:val="fr-FR"/>
        </w:rPr>
        <w:t>’</w:t>
      </w:r>
      <w:r w:rsidRPr="00A63696">
        <w:rPr>
          <w:lang w:val="fr-FR"/>
        </w:rPr>
        <w:t>humanité dépend de la manière dont nous allons collectivement relever les défis posés par les changements climatiques et les autres problèmes environnementaux. Étant donné l</w:t>
      </w:r>
      <w:r>
        <w:rPr>
          <w:lang w:val="fr-FR"/>
        </w:rPr>
        <w:t>’</w:t>
      </w:r>
      <w:r w:rsidRPr="00A63696">
        <w:rPr>
          <w:lang w:val="fr-FR"/>
        </w:rPr>
        <w:t>urgence de la situation, j</w:t>
      </w:r>
      <w:r>
        <w:rPr>
          <w:lang w:val="fr-FR"/>
        </w:rPr>
        <w:t>’</w:t>
      </w:r>
      <w:r w:rsidRPr="00A63696">
        <w:rPr>
          <w:lang w:val="fr-FR"/>
        </w:rPr>
        <w:t>ai l</w:t>
      </w:r>
      <w:r>
        <w:rPr>
          <w:lang w:val="fr-FR"/>
        </w:rPr>
        <w:t>’</w:t>
      </w:r>
      <w:r w:rsidRPr="00A63696">
        <w:rPr>
          <w:lang w:val="fr-FR"/>
        </w:rPr>
        <w:t>intention d</w:t>
      </w:r>
      <w:r>
        <w:rPr>
          <w:lang w:val="fr-FR"/>
        </w:rPr>
        <w:t>’</w:t>
      </w:r>
      <w:r w:rsidRPr="00A63696">
        <w:rPr>
          <w:lang w:val="fr-FR"/>
        </w:rPr>
        <w:t>accélérer nos propres efforts en la matière.</w:t>
      </w:r>
      <w:r>
        <w:rPr>
          <w:lang w:val="fr-FR"/>
        </w:rPr>
        <w:t xml:space="preserve"> </w:t>
      </w:r>
    </w:p>
    <w:p w14:paraId="1C250E9B" w14:textId="6E3B04BB" w:rsidR="00A63696" w:rsidRPr="00A63696" w:rsidRDefault="00A63696" w:rsidP="00A63696">
      <w:pPr>
        <w:pStyle w:val="SingleTxt"/>
        <w:numPr>
          <w:ilvl w:val="0"/>
          <w:numId w:val="35"/>
        </w:numPr>
        <w:spacing w:line="240" w:lineRule="exact"/>
        <w:ind w:left="1267"/>
        <w:rPr>
          <w:b/>
          <w:spacing w:val="3"/>
          <w:w w:val="101"/>
          <w:lang w:val="fr-FR"/>
        </w:rPr>
      </w:pPr>
      <w:r w:rsidRPr="00A63696">
        <w:rPr>
          <w:spacing w:val="3"/>
          <w:w w:val="101"/>
          <w:lang w:val="fr-FR"/>
        </w:rPr>
        <w:t>Le Secrétariat, qui joue un rôle moteur de portée mondiale et fournit des services aux autres organes principaux et subsidiaires de l’Organisation des Nations Unies, s’attachera à adapter ses propres pratiques aux buts et objectifs énoncés dans le Programme de développement durable à l’horizon 2030</w:t>
      </w:r>
      <w:r w:rsidRPr="00A63696">
        <w:rPr>
          <w:spacing w:val="3"/>
          <w:w w:val="101"/>
          <w:vertAlign w:val="superscript"/>
          <w:lang w:val="en-US"/>
        </w:rPr>
        <w:footnoteReference w:id="1"/>
      </w:r>
      <w:r w:rsidRPr="00A63696">
        <w:rPr>
          <w:spacing w:val="3"/>
          <w:w w:val="101"/>
          <w:lang w:val="fr-FR"/>
        </w:rPr>
        <w:t xml:space="preserve"> et aux accords internationaux sur les changements climatiques et la protection de l’environnement. </w:t>
      </w:r>
    </w:p>
    <w:p w14:paraId="54AE2427" w14:textId="69316F58" w:rsidR="00A63696" w:rsidRPr="00A63696" w:rsidRDefault="00A63696" w:rsidP="00A63696">
      <w:pPr>
        <w:pStyle w:val="SingleTxt"/>
        <w:numPr>
          <w:ilvl w:val="0"/>
          <w:numId w:val="35"/>
        </w:numPr>
        <w:spacing w:line="240" w:lineRule="exact"/>
        <w:ind w:left="1267"/>
        <w:rPr>
          <w:b/>
          <w:lang w:val="fr-FR"/>
        </w:rPr>
      </w:pPr>
      <w:r w:rsidRPr="00A63696">
        <w:rPr>
          <w:lang w:val="fr-FR"/>
        </w:rPr>
        <w:t>Afin d</w:t>
      </w:r>
      <w:r>
        <w:rPr>
          <w:lang w:val="fr-FR"/>
        </w:rPr>
        <w:t>’</w:t>
      </w:r>
      <w:r w:rsidRPr="00A63696">
        <w:rPr>
          <w:lang w:val="fr-FR"/>
        </w:rPr>
        <w:t>accélérer les efforts entrepris par le Secrétariat en matière de durabilité, en faisant fond sur les travaux antérieurs et en intégrant systématiquement la viabilité environnementale dans ses activités, je promulgue ci-après la p</w:t>
      </w:r>
      <w:r w:rsidRPr="00A63696">
        <w:rPr>
          <w:bCs/>
          <w:lang w:val="fr-FR"/>
        </w:rPr>
        <w:t>olitique environnementale applicable au Secrétariat de l</w:t>
      </w:r>
      <w:r>
        <w:rPr>
          <w:bCs/>
          <w:lang w:val="fr-FR"/>
        </w:rPr>
        <w:t>’</w:t>
      </w:r>
      <w:r w:rsidRPr="00A63696">
        <w:rPr>
          <w:bCs/>
          <w:lang w:val="fr-FR"/>
        </w:rPr>
        <w:t>Organisation des Nations Unies</w:t>
      </w:r>
      <w:r w:rsidRPr="00A63696">
        <w:rPr>
          <w:lang w:val="fr-FR"/>
        </w:rPr>
        <w:t>, qui figure en annexe à la présente circulaire.</w:t>
      </w:r>
    </w:p>
    <w:p w14:paraId="37ADCFD3" w14:textId="28897516" w:rsidR="00A63696" w:rsidRPr="007E0ADB" w:rsidRDefault="00A63696" w:rsidP="00A63696">
      <w:pPr>
        <w:pStyle w:val="SingleTxt"/>
        <w:numPr>
          <w:ilvl w:val="0"/>
          <w:numId w:val="35"/>
        </w:numPr>
        <w:spacing w:line="240" w:lineRule="exact"/>
        <w:ind w:left="1267"/>
        <w:rPr>
          <w:spacing w:val="3"/>
          <w:w w:val="101"/>
          <w:lang w:val="fr-FR"/>
        </w:rPr>
      </w:pPr>
      <w:bookmarkStart w:id="2" w:name="_Hlk18663425"/>
      <w:r w:rsidRPr="007E0ADB">
        <w:rPr>
          <w:spacing w:val="3"/>
          <w:w w:val="101"/>
          <w:lang w:val="fr-FR"/>
        </w:rPr>
        <w:t>La politique définit le cadre et les principes fondamentaux qui doivent guider la prise en compte de la viabilité environnementale dans les activités du Secrétariat à travers le monde</w:t>
      </w:r>
      <w:bookmarkEnd w:id="2"/>
      <w:r w:rsidRPr="007E0ADB">
        <w:rPr>
          <w:spacing w:val="3"/>
          <w:w w:val="101"/>
          <w:lang w:val="fr-FR"/>
        </w:rPr>
        <w:t>. Elle vient accompagner la mise en œuvre du plan d’action du Secrétaire général,</w:t>
      </w:r>
      <w:r w:rsidRPr="007E0ADB">
        <w:rPr>
          <w:spacing w:val="3"/>
          <w:w w:val="101"/>
          <w:vertAlign w:val="superscript"/>
          <w:lang w:val="en-GB"/>
        </w:rPr>
        <w:footnoteReference w:id="2"/>
      </w:r>
      <w:r w:rsidRPr="007E0ADB">
        <w:rPr>
          <w:spacing w:val="3"/>
          <w:w w:val="101"/>
          <w:lang w:val="fr-FR"/>
        </w:rPr>
        <w:t xml:space="preserve"> approuvé par l’Assemblée générale, visant à intégrer des pratiques de développement durable dans la gestion des opérations du Secrétariat, et des résolutions du Conseil de sécurité et de l’Assemblée générale concernant la réduction de l’empreinte écologique globale des missions de maintien de la paix.</w:t>
      </w:r>
      <w:r w:rsidRPr="007E0ADB">
        <w:rPr>
          <w:spacing w:val="3"/>
          <w:w w:val="101"/>
          <w:vertAlign w:val="superscript"/>
          <w:lang w:val="en-GB"/>
        </w:rPr>
        <w:footnoteReference w:id="3"/>
      </w:r>
      <w:r w:rsidRPr="007E0ADB">
        <w:rPr>
          <w:bCs/>
          <w:spacing w:val="3"/>
          <w:w w:val="101"/>
          <w:lang w:val="fr-FR"/>
        </w:rPr>
        <w:t xml:space="preserve"> En outre, la </w:t>
      </w:r>
      <w:r w:rsidRPr="007E0ADB">
        <w:rPr>
          <w:bCs/>
          <w:spacing w:val="3"/>
          <w:w w:val="100"/>
          <w:lang w:val="fr-FR"/>
        </w:rPr>
        <w:lastRenderedPageBreak/>
        <w:t>politique a pour objet de concourir à la mise en œuvre des engagements pris par le Conseil des chefs de secrétariat des organismes des Nations Unies pour la coordination en matière de gestion de la viabilité environnementale dans le système des Nations Unies</w:t>
      </w:r>
      <w:r w:rsidRPr="007E0ADB">
        <w:rPr>
          <w:spacing w:val="3"/>
          <w:w w:val="100"/>
          <w:lang w:val="fr-FR"/>
        </w:rPr>
        <w:t>.</w:t>
      </w:r>
      <w:r w:rsidRPr="007E0ADB">
        <w:rPr>
          <w:spacing w:val="3"/>
          <w:w w:val="100"/>
          <w:vertAlign w:val="superscript"/>
          <w:lang w:val="en-US"/>
        </w:rPr>
        <w:footnoteReference w:id="4"/>
      </w:r>
    </w:p>
    <w:p w14:paraId="220A9B75" w14:textId="36EF28CE" w:rsidR="00A63696" w:rsidRPr="00A63696" w:rsidRDefault="00A63696" w:rsidP="00A63696">
      <w:pPr>
        <w:pStyle w:val="SingleTxt"/>
        <w:numPr>
          <w:ilvl w:val="0"/>
          <w:numId w:val="35"/>
        </w:numPr>
        <w:spacing w:line="240" w:lineRule="exact"/>
        <w:ind w:left="1267"/>
        <w:rPr>
          <w:lang w:val="fr-FR"/>
        </w:rPr>
      </w:pPr>
      <w:r w:rsidRPr="00A63696">
        <w:rPr>
          <w:lang w:val="fr-FR"/>
        </w:rPr>
        <w:t>Par cette politique, le Secrétariat s</w:t>
      </w:r>
      <w:r>
        <w:rPr>
          <w:lang w:val="fr-FR"/>
        </w:rPr>
        <w:t>’</w:t>
      </w:r>
      <w:r w:rsidRPr="00A63696">
        <w:rPr>
          <w:lang w:val="fr-FR"/>
        </w:rPr>
        <w:t>engage à appliquer cinq principes directeurs</w:t>
      </w:r>
      <w:r>
        <w:rPr>
          <w:lang w:val="fr-FR"/>
        </w:rPr>
        <w:t> :</w:t>
      </w:r>
      <w:r w:rsidRPr="00A63696">
        <w:rPr>
          <w:lang w:val="fr-FR"/>
        </w:rPr>
        <w:t xml:space="preserve"> a) gestion de l</w:t>
      </w:r>
      <w:r>
        <w:rPr>
          <w:lang w:val="fr-FR"/>
        </w:rPr>
        <w:t>’</w:t>
      </w:r>
      <w:r w:rsidRPr="00A63696">
        <w:rPr>
          <w:lang w:val="fr-FR"/>
        </w:rPr>
        <w:t>environnement dans toutes les opérations</w:t>
      </w:r>
      <w:r>
        <w:rPr>
          <w:lang w:val="fr-FR"/>
        </w:rPr>
        <w:t> ;</w:t>
      </w:r>
      <w:r w:rsidRPr="00A63696">
        <w:rPr>
          <w:lang w:val="fr-FR"/>
        </w:rPr>
        <w:t xml:space="preserve"> b) efficacité de l</w:t>
      </w:r>
      <w:r>
        <w:rPr>
          <w:lang w:val="fr-FR"/>
        </w:rPr>
        <w:t>’</w:t>
      </w:r>
      <w:r w:rsidRPr="00A63696">
        <w:rPr>
          <w:lang w:val="fr-FR"/>
        </w:rPr>
        <w:t>utilisation des ressources et des opérations</w:t>
      </w:r>
      <w:r>
        <w:rPr>
          <w:lang w:val="fr-FR"/>
        </w:rPr>
        <w:t> ;</w:t>
      </w:r>
      <w:r w:rsidRPr="00A63696">
        <w:rPr>
          <w:lang w:val="fr-FR"/>
        </w:rPr>
        <w:t xml:space="preserve"> c) amélioration constante de la performance environnementale</w:t>
      </w:r>
      <w:r>
        <w:rPr>
          <w:lang w:val="fr-FR"/>
        </w:rPr>
        <w:t> ;</w:t>
      </w:r>
      <w:r w:rsidRPr="00A63696">
        <w:rPr>
          <w:lang w:val="fr-FR"/>
        </w:rPr>
        <w:t xml:space="preserve"> d) participation des parties prenantes à tous les niveaux</w:t>
      </w:r>
      <w:r>
        <w:rPr>
          <w:lang w:val="fr-FR"/>
        </w:rPr>
        <w:t> ;</w:t>
      </w:r>
      <w:r w:rsidRPr="00A63696">
        <w:rPr>
          <w:lang w:val="fr-FR"/>
        </w:rPr>
        <w:t xml:space="preserve"> et e)</w:t>
      </w:r>
      <w:r>
        <w:rPr>
          <w:lang w:val="fr-FR"/>
        </w:rPr>
        <w:t> </w:t>
      </w:r>
      <w:r w:rsidRPr="00A63696">
        <w:rPr>
          <w:lang w:val="fr-FR"/>
        </w:rPr>
        <w:t xml:space="preserve">adaptation et résilience. </w:t>
      </w:r>
    </w:p>
    <w:p w14:paraId="0BFAAE20" w14:textId="0FFD3417" w:rsidR="00A63696" w:rsidRPr="00A63696" w:rsidRDefault="00A63696" w:rsidP="00A63696">
      <w:pPr>
        <w:pStyle w:val="SingleTxt"/>
        <w:numPr>
          <w:ilvl w:val="0"/>
          <w:numId w:val="35"/>
        </w:numPr>
        <w:spacing w:line="240" w:lineRule="exact"/>
        <w:ind w:left="1267"/>
        <w:rPr>
          <w:lang w:val="fr-FR"/>
        </w:rPr>
      </w:pPr>
      <w:r w:rsidRPr="00A63696">
        <w:rPr>
          <w:lang w:val="fr-FR"/>
        </w:rPr>
        <w:t>Par cette politique, le Secrétariat s</w:t>
      </w:r>
      <w:r>
        <w:rPr>
          <w:lang w:val="fr-FR"/>
        </w:rPr>
        <w:t>’</w:t>
      </w:r>
      <w:r w:rsidRPr="00A63696">
        <w:rPr>
          <w:lang w:val="fr-FR"/>
        </w:rPr>
        <w:t>engage également à atteindre des objectifs précis dans l</w:t>
      </w:r>
      <w:r>
        <w:rPr>
          <w:lang w:val="fr-FR"/>
        </w:rPr>
        <w:t>’</w:t>
      </w:r>
      <w:r w:rsidRPr="00A63696">
        <w:rPr>
          <w:lang w:val="fr-FR"/>
        </w:rPr>
        <w:t>application des principes directeurs, et notamment à assurer la gestion de la viabilité environnementale par la mise en place et le fonctionnement de systèmes de gestion de l</w:t>
      </w:r>
      <w:r>
        <w:rPr>
          <w:lang w:val="fr-FR"/>
        </w:rPr>
        <w:t>’</w:t>
      </w:r>
      <w:r w:rsidRPr="00A63696">
        <w:rPr>
          <w:lang w:val="fr-FR"/>
        </w:rPr>
        <w:t>environnement dans tous ses lieux d</w:t>
      </w:r>
      <w:r>
        <w:rPr>
          <w:lang w:val="fr-FR"/>
        </w:rPr>
        <w:t>’</w:t>
      </w:r>
      <w:r w:rsidRPr="00A63696">
        <w:rPr>
          <w:lang w:val="fr-FR"/>
        </w:rPr>
        <w:t xml:space="preserve">affectation. </w:t>
      </w:r>
    </w:p>
    <w:p w14:paraId="2AF6B434" w14:textId="7FC4143E" w:rsidR="00A63696" w:rsidRPr="00A63696" w:rsidRDefault="00A63696" w:rsidP="00A63696">
      <w:pPr>
        <w:pStyle w:val="SingleTxt"/>
        <w:numPr>
          <w:ilvl w:val="0"/>
          <w:numId w:val="35"/>
        </w:numPr>
        <w:spacing w:line="240" w:lineRule="exact"/>
        <w:ind w:left="1267"/>
        <w:rPr>
          <w:lang w:val="fr-FR"/>
        </w:rPr>
      </w:pPr>
      <w:r w:rsidRPr="00A63696">
        <w:rPr>
          <w:lang w:val="fr-FR"/>
        </w:rPr>
        <w:t>Dans la mise en œuvre des principes directeurs, j</w:t>
      </w:r>
      <w:r>
        <w:rPr>
          <w:lang w:val="fr-FR"/>
        </w:rPr>
        <w:t>’</w:t>
      </w:r>
      <w:r w:rsidRPr="00A63696">
        <w:rPr>
          <w:lang w:val="fr-FR"/>
        </w:rPr>
        <w:t>exhorte les fonctionnaires de l</w:t>
      </w:r>
      <w:r>
        <w:rPr>
          <w:lang w:val="fr-FR"/>
        </w:rPr>
        <w:t>’</w:t>
      </w:r>
      <w:r w:rsidRPr="00A63696">
        <w:rPr>
          <w:lang w:val="fr-FR"/>
        </w:rPr>
        <w:t>Organisation des Nations Unies et les autres membres du personnel des Nations Unies à participer activement à la protection de l</w:t>
      </w:r>
      <w:r>
        <w:rPr>
          <w:lang w:val="fr-FR"/>
        </w:rPr>
        <w:t>’</w:t>
      </w:r>
      <w:r w:rsidRPr="00A63696">
        <w:rPr>
          <w:lang w:val="fr-FR"/>
        </w:rPr>
        <w:t>environnement dans la réalisation des activités menées par l</w:t>
      </w:r>
      <w:r>
        <w:rPr>
          <w:lang w:val="fr-FR"/>
        </w:rPr>
        <w:t>’</w:t>
      </w:r>
      <w:r w:rsidRPr="00A63696">
        <w:rPr>
          <w:lang w:val="fr-FR"/>
        </w:rPr>
        <w:t>Organisation et au renforcement des mesures prises par l</w:t>
      </w:r>
      <w:r>
        <w:rPr>
          <w:lang w:val="fr-FR"/>
        </w:rPr>
        <w:t>’</w:t>
      </w:r>
      <w:r w:rsidRPr="00A63696">
        <w:rPr>
          <w:lang w:val="fr-FR"/>
        </w:rPr>
        <w:t>Organisation pour faire face aux problèmes posés par les changements climatiques, tant sur le lieu de travail que dans la société en général.</w:t>
      </w:r>
    </w:p>
    <w:p w14:paraId="556BF9AB" w14:textId="20499014" w:rsidR="00A63696" w:rsidRPr="00A63696" w:rsidRDefault="00A63696" w:rsidP="00A63696">
      <w:pPr>
        <w:pStyle w:val="SingleTxt"/>
        <w:numPr>
          <w:ilvl w:val="0"/>
          <w:numId w:val="35"/>
        </w:numPr>
        <w:spacing w:line="240" w:lineRule="exact"/>
        <w:ind w:left="1267"/>
        <w:rPr>
          <w:lang w:val="fr-FR"/>
        </w:rPr>
      </w:pPr>
      <w:bookmarkStart w:id="3" w:name="_Hlk18678857"/>
      <w:bookmarkStart w:id="4" w:name="_Hlk18660595"/>
      <w:r w:rsidRPr="00A63696">
        <w:rPr>
          <w:lang w:val="fr-FR"/>
        </w:rPr>
        <w:t>Des directives détaillées pour la mise en œuvre de la politique environnementale seront publiées séparément et révisées en tant que de besoin</w:t>
      </w:r>
      <w:bookmarkEnd w:id="3"/>
      <w:r w:rsidRPr="00A63696">
        <w:rPr>
          <w:lang w:val="fr-FR"/>
        </w:rPr>
        <w:t>.</w:t>
      </w:r>
    </w:p>
    <w:bookmarkEnd w:id="4"/>
    <w:p w14:paraId="2A55F99A" w14:textId="20833B09" w:rsidR="00A63696" w:rsidRPr="00A63696" w:rsidRDefault="00A63696" w:rsidP="00A63696">
      <w:pPr>
        <w:pStyle w:val="SingleTxt"/>
        <w:numPr>
          <w:ilvl w:val="0"/>
          <w:numId w:val="35"/>
        </w:numPr>
        <w:spacing w:line="240" w:lineRule="exact"/>
        <w:ind w:left="1267"/>
        <w:rPr>
          <w:lang w:val="fr-FR"/>
        </w:rPr>
      </w:pPr>
      <w:r w:rsidRPr="00A63696">
        <w:rPr>
          <w:lang w:val="fr-FR"/>
        </w:rPr>
        <w:t>La présente circulaire entre en vigueur à la date de sa publication.</w:t>
      </w:r>
    </w:p>
    <w:p w14:paraId="3F5552AD" w14:textId="657C9DD6" w:rsidR="00A63696" w:rsidRPr="00A63696" w:rsidRDefault="00A63696" w:rsidP="00A63696">
      <w:pPr>
        <w:pStyle w:val="SingleTxt"/>
        <w:spacing w:after="0" w:line="120" w:lineRule="exact"/>
        <w:rPr>
          <w:sz w:val="10"/>
          <w:lang w:val="fr-FR"/>
        </w:rPr>
      </w:pPr>
    </w:p>
    <w:p w14:paraId="0B7CAC24" w14:textId="77777777" w:rsidR="00A63696" w:rsidRDefault="00A63696" w:rsidP="00A63696">
      <w:pPr>
        <w:pStyle w:val="SingleTxt"/>
        <w:spacing w:after="0"/>
        <w:jc w:val="right"/>
        <w:rPr>
          <w:lang w:val="fr-FR"/>
        </w:rPr>
      </w:pPr>
      <w:r w:rsidRPr="00A63696">
        <w:rPr>
          <w:lang w:val="fr-FR"/>
        </w:rPr>
        <w:t>Le Secrétaire général</w:t>
      </w:r>
    </w:p>
    <w:p w14:paraId="1DA19333" w14:textId="737FDE36" w:rsidR="00A63696" w:rsidRDefault="00A63696" w:rsidP="00A63696">
      <w:pPr>
        <w:pStyle w:val="SingleTxt"/>
        <w:jc w:val="right"/>
        <w:rPr>
          <w:b/>
          <w:bCs/>
          <w:lang w:val="fr-FR"/>
        </w:rPr>
      </w:pPr>
      <w:r w:rsidRPr="00A63696">
        <w:rPr>
          <w:lang w:val="fr-FR"/>
        </w:rPr>
        <w:t>(</w:t>
      </w:r>
      <w:r w:rsidRPr="00A63696">
        <w:rPr>
          <w:i/>
          <w:iCs/>
          <w:lang w:val="fr-FR"/>
        </w:rPr>
        <w:t>Signé</w:t>
      </w:r>
      <w:r w:rsidRPr="00A63696">
        <w:rPr>
          <w:lang w:val="fr-FR"/>
        </w:rPr>
        <w:t xml:space="preserve">) António </w:t>
      </w:r>
      <w:r w:rsidRPr="00A63696">
        <w:rPr>
          <w:b/>
          <w:bCs/>
          <w:lang w:val="fr-FR"/>
        </w:rPr>
        <w:t>Guterres</w:t>
      </w:r>
    </w:p>
    <w:p w14:paraId="71861FE9" w14:textId="77777777" w:rsidR="00F57BC3" w:rsidRDefault="00A63696">
      <w:pPr>
        <w:spacing w:after="200" w:line="276" w:lineRule="auto"/>
        <w:rPr>
          <w:lang w:val="fr-FR"/>
        </w:rPr>
        <w:sectPr w:rsidR="00F57BC3" w:rsidSect="00A63696">
          <w:type w:val="continuous"/>
          <w:pgSz w:w="12240" w:h="15840"/>
          <w:pgMar w:top="1440" w:right="1200" w:bottom="1152" w:left="1200" w:header="432" w:footer="504" w:gutter="0"/>
          <w:cols w:space="720"/>
          <w:noEndnote/>
          <w:docGrid w:linePitch="360"/>
        </w:sectPr>
      </w:pPr>
      <w:r>
        <w:rPr>
          <w:lang w:val="fr-FR"/>
        </w:rPr>
        <w:br w:type="page"/>
      </w:r>
    </w:p>
    <w:p w14:paraId="3453F376" w14:textId="5DFC1CCA" w:rsidR="00A63696" w:rsidRDefault="00A63696" w:rsidP="00F57BC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A63696">
        <w:rPr>
          <w:lang w:val="fr-FR"/>
        </w:rPr>
        <w:lastRenderedPageBreak/>
        <w:t>Annexe</w:t>
      </w:r>
    </w:p>
    <w:p w14:paraId="2BE94E38" w14:textId="306A9635" w:rsidR="00F57BC3" w:rsidRPr="00F57BC3" w:rsidRDefault="00F57BC3" w:rsidP="00F57BC3">
      <w:pPr>
        <w:pStyle w:val="SingleTxt"/>
        <w:spacing w:after="0" w:line="120" w:lineRule="exact"/>
        <w:rPr>
          <w:sz w:val="10"/>
          <w:lang w:val="fr-FR"/>
        </w:rPr>
      </w:pPr>
    </w:p>
    <w:p w14:paraId="13AFD434" w14:textId="3E94B6FE" w:rsidR="00A63696" w:rsidRPr="00A63696" w:rsidRDefault="00F57BC3" w:rsidP="00F57BC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A63696" w:rsidRPr="00A63696">
        <w:rPr>
          <w:lang w:val="fr-FR"/>
        </w:rPr>
        <w:t>Politique environnementale applicable au Secrétariat de</w:t>
      </w:r>
      <w:r>
        <w:rPr>
          <w:lang w:val="fr-FR"/>
        </w:rPr>
        <w:t> </w:t>
      </w:r>
      <w:r w:rsidR="00A63696" w:rsidRPr="00A63696">
        <w:rPr>
          <w:lang w:val="fr-FR"/>
        </w:rPr>
        <w:t>l</w:t>
      </w:r>
      <w:r w:rsidR="00A63696">
        <w:rPr>
          <w:lang w:val="fr-FR"/>
        </w:rPr>
        <w:t>’</w:t>
      </w:r>
      <w:r w:rsidR="00A63696" w:rsidRPr="00A63696">
        <w:rPr>
          <w:lang w:val="fr-FR"/>
        </w:rPr>
        <w:t>Organisation des Nations Unies</w:t>
      </w:r>
    </w:p>
    <w:p w14:paraId="72FB46D4" w14:textId="11379D19" w:rsidR="00F57BC3" w:rsidRPr="00F57BC3" w:rsidRDefault="00F57BC3" w:rsidP="00F57BC3">
      <w:pPr>
        <w:pStyle w:val="SingleTxt"/>
        <w:spacing w:after="0" w:line="120" w:lineRule="exact"/>
        <w:rPr>
          <w:sz w:val="10"/>
          <w:lang w:val="fr-FR"/>
        </w:rPr>
      </w:pPr>
    </w:p>
    <w:p w14:paraId="1D9282E7" w14:textId="18B4A1F3" w:rsidR="00F57BC3" w:rsidRPr="00F57BC3" w:rsidRDefault="00F57BC3" w:rsidP="00F57BC3">
      <w:pPr>
        <w:pStyle w:val="SingleTxt"/>
        <w:spacing w:after="0" w:line="120" w:lineRule="exact"/>
        <w:rPr>
          <w:sz w:val="10"/>
          <w:lang w:val="fr-FR"/>
        </w:rPr>
      </w:pPr>
    </w:p>
    <w:p w14:paraId="5B6C9CAA" w14:textId="5F94299B" w:rsidR="00A63696" w:rsidRPr="00A63696" w:rsidRDefault="00F57BC3" w:rsidP="00F57BC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t>I.</w:t>
      </w:r>
      <w:r>
        <w:rPr>
          <w:lang w:val="fr-FR"/>
        </w:rPr>
        <w:tab/>
      </w:r>
      <w:r w:rsidR="00A63696" w:rsidRPr="00A63696">
        <w:rPr>
          <w:lang w:val="fr-FR"/>
        </w:rPr>
        <w:t>Aperçu général</w:t>
      </w:r>
    </w:p>
    <w:p w14:paraId="6EA76A30" w14:textId="520CF939" w:rsidR="00A63696" w:rsidRPr="00F57BC3" w:rsidRDefault="00A63696" w:rsidP="00F57BC3">
      <w:pPr>
        <w:pStyle w:val="SingleTxt"/>
        <w:spacing w:after="0" w:line="120" w:lineRule="exact"/>
        <w:rPr>
          <w:sz w:val="10"/>
          <w:lang w:val="fr-FR"/>
        </w:rPr>
      </w:pPr>
    </w:p>
    <w:p w14:paraId="56C1D859" w14:textId="6595A399" w:rsidR="00F57BC3" w:rsidRPr="00F57BC3" w:rsidRDefault="00F57BC3" w:rsidP="00F57BC3">
      <w:pPr>
        <w:pStyle w:val="SingleTxt"/>
        <w:spacing w:after="0" w:line="120" w:lineRule="exact"/>
        <w:rPr>
          <w:sz w:val="10"/>
          <w:lang w:val="fr-FR"/>
        </w:rPr>
      </w:pPr>
    </w:p>
    <w:p w14:paraId="7D8FF91F" w14:textId="523A2C53" w:rsidR="00A63696" w:rsidRPr="00A63696" w:rsidRDefault="00A63696" w:rsidP="00F57BC3">
      <w:pPr>
        <w:pStyle w:val="SingleTxt"/>
        <w:numPr>
          <w:ilvl w:val="0"/>
          <w:numId w:val="37"/>
        </w:numPr>
        <w:rPr>
          <w:lang w:val="fr-FR"/>
        </w:rPr>
      </w:pPr>
      <w:r w:rsidRPr="00A63696">
        <w:rPr>
          <w:lang w:val="fr-FR"/>
        </w:rPr>
        <w:t>Les États Membres sont réunis par l</w:t>
      </w:r>
      <w:r>
        <w:rPr>
          <w:lang w:val="fr-FR"/>
        </w:rPr>
        <w:t>’</w:t>
      </w:r>
      <w:r w:rsidRPr="00A63696">
        <w:rPr>
          <w:lang w:val="fr-FR"/>
        </w:rPr>
        <w:t>Organisation en vue de protéger le droit fondamental de tout être humain à la liberté, à l</w:t>
      </w:r>
      <w:r>
        <w:rPr>
          <w:lang w:val="fr-FR"/>
        </w:rPr>
        <w:t>’</w:t>
      </w:r>
      <w:r w:rsidRPr="00A63696">
        <w:rPr>
          <w:lang w:val="fr-FR"/>
        </w:rPr>
        <w:t>égalité et à des conditions de vie satisfaisantes, dans un environnement dont la qualité lui permette de vivre dans la dignité et le bien-être. L</w:t>
      </w:r>
      <w:r>
        <w:rPr>
          <w:lang w:val="fr-FR"/>
        </w:rPr>
        <w:t>’</w:t>
      </w:r>
      <w:r w:rsidRPr="00A63696">
        <w:rPr>
          <w:lang w:val="fr-FR"/>
        </w:rPr>
        <w:t>Organisation des Nations Unies elle-même, comme ses États Membres, «</w:t>
      </w:r>
      <w:r w:rsidR="00F57BC3">
        <w:rPr>
          <w:lang w:val="fr-FR"/>
        </w:rPr>
        <w:t> </w:t>
      </w:r>
      <w:r w:rsidRPr="00A63696">
        <w:rPr>
          <w:lang w:val="fr-FR"/>
        </w:rPr>
        <w:t>a le devoir solennel de protéger et d</w:t>
      </w:r>
      <w:r>
        <w:rPr>
          <w:lang w:val="fr-FR"/>
        </w:rPr>
        <w:t>’</w:t>
      </w:r>
      <w:r w:rsidRPr="00A63696">
        <w:rPr>
          <w:lang w:val="fr-FR"/>
        </w:rPr>
        <w:t>améliorer l</w:t>
      </w:r>
      <w:r>
        <w:rPr>
          <w:lang w:val="fr-FR"/>
        </w:rPr>
        <w:t>’</w:t>
      </w:r>
      <w:r w:rsidRPr="00A63696">
        <w:rPr>
          <w:lang w:val="fr-FR"/>
        </w:rPr>
        <w:t>environnement pour les générations présentes et futures.</w:t>
      </w:r>
      <w:r w:rsidR="00F57BC3">
        <w:rPr>
          <w:lang w:val="fr-FR"/>
        </w:rPr>
        <w:t> </w:t>
      </w:r>
      <w:r w:rsidRPr="00A63696">
        <w:rPr>
          <w:lang w:val="fr-FR"/>
        </w:rPr>
        <w:t>»</w:t>
      </w:r>
      <w:bookmarkStart w:id="5" w:name="_Hlk505763178"/>
      <w:r w:rsidRPr="00A63696">
        <w:rPr>
          <w:vertAlign w:val="superscript"/>
          <w:lang w:val="en-US"/>
        </w:rPr>
        <w:footnoteReference w:id="5"/>
      </w:r>
      <w:bookmarkEnd w:id="5"/>
    </w:p>
    <w:p w14:paraId="17552495" w14:textId="497B3CF7" w:rsidR="00A63696" w:rsidRPr="00A63696" w:rsidRDefault="00A63696" w:rsidP="00F57BC3">
      <w:pPr>
        <w:pStyle w:val="SingleTxt"/>
        <w:numPr>
          <w:ilvl w:val="0"/>
          <w:numId w:val="37"/>
        </w:numPr>
        <w:spacing w:line="240" w:lineRule="exact"/>
        <w:rPr>
          <w:lang w:val="fr-FR"/>
        </w:rPr>
      </w:pPr>
      <w:r w:rsidRPr="00A63696">
        <w:rPr>
          <w:lang w:val="fr-FR"/>
        </w:rPr>
        <w:t>L</w:t>
      </w:r>
      <w:r>
        <w:rPr>
          <w:lang w:val="fr-FR"/>
        </w:rPr>
        <w:t>’</w:t>
      </w:r>
      <w:r w:rsidRPr="00A63696">
        <w:rPr>
          <w:lang w:val="fr-FR"/>
        </w:rPr>
        <w:t>Assemblée générale a affirmé son engagement en faveur de la durabilité en adoptant le Programme de développement durable à l</w:t>
      </w:r>
      <w:r>
        <w:rPr>
          <w:lang w:val="fr-FR"/>
        </w:rPr>
        <w:t>’</w:t>
      </w:r>
      <w:r w:rsidRPr="00A63696">
        <w:rPr>
          <w:lang w:val="fr-FR"/>
        </w:rPr>
        <w:t>horizon 2030, qui vise à éliminer la pauvreté, protéger l</w:t>
      </w:r>
      <w:r>
        <w:rPr>
          <w:lang w:val="fr-FR"/>
        </w:rPr>
        <w:t>’</w:t>
      </w:r>
      <w:r w:rsidRPr="00A63696">
        <w:rPr>
          <w:lang w:val="fr-FR"/>
        </w:rPr>
        <w:t xml:space="preserve">environnement et assurer la paix et la prospérité à la population du monde entier. </w:t>
      </w:r>
    </w:p>
    <w:p w14:paraId="38692798" w14:textId="70B0BF7A" w:rsidR="00A63696" w:rsidRPr="00A63696" w:rsidRDefault="00A63696" w:rsidP="00F57BC3">
      <w:pPr>
        <w:pStyle w:val="SingleTxt"/>
        <w:numPr>
          <w:ilvl w:val="0"/>
          <w:numId w:val="37"/>
        </w:numPr>
        <w:spacing w:line="240" w:lineRule="exact"/>
        <w:rPr>
          <w:lang w:val="fr-FR"/>
        </w:rPr>
      </w:pPr>
      <w:r w:rsidRPr="00A63696">
        <w:rPr>
          <w:lang w:val="fr-FR"/>
        </w:rPr>
        <w:t>Le Secrétariat, qui joue un rôle moteur de portée mondiale et fournit des services aux autres organes principaux et subsidiaires de l</w:t>
      </w:r>
      <w:r>
        <w:rPr>
          <w:lang w:val="fr-FR"/>
        </w:rPr>
        <w:t>’</w:t>
      </w:r>
      <w:r w:rsidRPr="00A63696">
        <w:rPr>
          <w:lang w:val="fr-FR"/>
        </w:rPr>
        <w:t>Organisation, s</w:t>
      </w:r>
      <w:r>
        <w:rPr>
          <w:lang w:val="fr-FR"/>
        </w:rPr>
        <w:t>’</w:t>
      </w:r>
      <w:r w:rsidRPr="00A63696">
        <w:rPr>
          <w:lang w:val="fr-FR"/>
        </w:rPr>
        <w:t>attachera à adapter ses propres pratiques aux buts et objectifs énoncés dans le Programme 2030 et aux accords internationaux sur les changements climatiques et la protection de l</w:t>
      </w:r>
      <w:r>
        <w:rPr>
          <w:lang w:val="fr-FR"/>
        </w:rPr>
        <w:t>’</w:t>
      </w:r>
      <w:r w:rsidRPr="00A63696">
        <w:rPr>
          <w:lang w:val="fr-FR"/>
        </w:rPr>
        <w:t>environnement, notamment le Cadre de Sendai pour la réduction des risques de catastrophe 2015</w:t>
      </w:r>
      <w:r w:rsidR="00063668">
        <w:rPr>
          <w:lang w:val="fr-FR"/>
        </w:rPr>
        <w:t>-</w:t>
      </w:r>
      <w:r w:rsidRPr="00A63696">
        <w:rPr>
          <w:lang w:val="fr-FR"/>
        </w:rPr>
        <w:t>2030 et l</w:t>
      </w:r>
      <w:r>
        <w:rPr>
          <w:lang w:val="fr-FR"/>
        </w:rPr>
        <w:t>’</w:t>
      </w:r>
      <w:r w:rsidRPr="00A63696">
        <w:rPr>
          <w:lang w:val="fr-FR"/>
        </w:rPr>
        <w:t>Accord de Paris</w:t>
      </w:r>
      <w:r w:rsidR="00F57BC3" w:rsidRPr="00A63696">
        <w:rPr>
          <w:vertAlign w:val="superscript"/>
          <w:lang w:val="en-US"/>
        </w:rPr>
        <w:footnoteReference w:id="6"/>
      </w:r>
      <w:r w:rsidRPr="00A63696">
        <w:rPr>
          <w:lang w:val="fr-FR"/>
        </w:rPr>
        <w:t xml:space="preserve">. </w:t>
      </w:r>
    </w:p>
    <w:p w14:paraId="3520C64A" w14:textId="1CC3519C" w:rsidR="00A63696" w:rsidRPr="00A63696" w:rsidRDefault="00A63696" w:rsidP="00F57BC3">
      <w:pPr>
        <w:pStyle w:val="SingleTxt"/>
        <w:numPr>
          <w:ilvl w:val="0"/>
          <w:numId w:val="37"/>
        </w:numPr>
        <w:spacing w:line="240" w:lineRule="exact"/>
        <w:rPr>
          <w:lang w:val="fr-FR"/>
        </w:rPr>
      </w:pPr>
      <w:r w:rsidRPr="00A63696">
        <w:rPr>
          <w:lang w:val="fr-FR"/>
        </w:rPr>
        <w:t>En conséquence, faisant fond sur les efforts antérieurs, le Secrétariat s</w:t>
      </w:r>
      <w:r>
        <w:rPr>
          <w:lang w:val="fr-FR"/>
        </w:rPr>
        <w:t>’</w:t>
      </w:r>
      <w:r w:rsidRPr="00A63696">
        <w:rPr>
          <w:lang w:val="fr-FR"/>
        </w:rPr>
        <w:t>engage à systématiquement intégrer la viabilité environnementale dans son mode de fonctionnement et à renforcer ses capacités institutionnelles et sa crédibilité afin de contribuer efficacement à tous les objectifs de développement durable. Plus précisément, les objectifs 6, 7, 12, 13 et 16 et leurs cibles 6.3, 6.4, 7.2, 7.3, 12.2, 12.4, 12.5, 12.6, 12.7, 12.8, 13.1, 13.2, 13.3 et 16.6 revêtent un intérêt direct pour ce qui est d</w:t>
      </w:r>
      <w:r>
        <w:rPr>
          <w:lang w:val="fr-FR"/>
        </w:rPr>
        <w:t>’</w:t>
      </w:r>
      <w:r w:rsidRPr="00A63696">
        <w:rPr>
          <w:lang w:val="fr-FR"/>
        </w:rPr>
        <w:t>adapter la gestion des opérations internes aux aspects environnementaux du développement durable.</w:t>
      </w:r>
    </w:p>
    <w:p w14:paraId="08F7245C" w14:textId="77777777" w:rsidR="00F57BC3" w:rsidRPr="00F57BC3" w:rsidRDefault="00F57BC3" w:rsidP="00F57BC3">
      <w:pPr>
        <w:pStyle w:val="SingleTxt"/>
        <w:spacing w:after="0" w:line="120" w:lineRule="exact"/>
        <w:rPr>
          <w:b/>
          <w:bCs/>
          <w:sz w:val="10"/>
          <w:lang w:val="fr-FR"/>
        </w:rPr>
      </w:pPr>
    </w:p>
    <w:p w14:paraId="3F0C0B42" w14:textId="77777777" w:rsidR="00F57BC3" w:rsidRPr="00F57BC3" w:rsidRDefault="00F57BC3" w:rsidP="00F57BC3">
      <w:pPr>
        <w:pStyle w:val="SingleTxt"/>
        <w:spacing w:after="0" w:line="120" w:lineRule="exact"/>
        <w:rPr>
          <w:b/>
          <w:bCs/>
          <w:sz w:val="10"/>
          <w:lang w:val="fr-FR"/>
        </w:rPr>
      </w:pPr>
    </w:p>
    <w:p w14:paraId="4563D714" w14:textId="0D953785" w:rsidR="00A63696" w:rsidRPr="00A63696" w:rsidRDefault="00F57BC3" w:rsidP="00F57BC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sidR="00A63696" w:rsidRPr="00A63696">
        <w:rPr>
          <w:lang w:val="fr-FR"/>
        </w:rPr>
        <w:t>II.</w:t>
      </w:r>
      <w:r w:rsidR="00A63696" w:rsidRPr="00A63696">
        <w:rPr>
          <w:lang w:val="fr-FR"/>
        </w:rPr>
        <w:tab/>
        <w:t>Objet</w:t>
      </w:r>
    </w:p>
    <w:p w14:paraId="1F753BE8" w14:textId="77777777" w:rsidR="00F57BC3" w:rsidRPr="00F57BC3" w:rsidRDefault="00F57BC3" w:rsidP="00F57BC3">
      <w:pPr>
        <w:pStyle w:val="SingleTxt"/>
        <w:spacing w:after="0" w:line="120" w:lineRule="exact"/>
        <w:rPr>
          <w:sz w:val="10"/>
          <w:lang w:val="fr-FR"/>
        </w:rPr>
      </w:pPr>
    </w:p>
    <w:p w14:paraId="4F5867DC" w14:textId="77777777" w:rsidR="00F57BC3" w:rsidRPr="00F57BC3" w:rsidRDefault="00F57BC3" w:rsidP="00F57BC3">
      <w:pPr>
        <w:pStyle w:val="SingleTxt"/>
        <w:spacing w:after="0" w:line="120" w:lineRule="exact"/>
        <w:rPr>
          <w:sz w:val="10"/>
          <w:lang w:val="fr-FR"/>
        </w:rPr>
      </w:pPr>
    </w:p>
    <w:p w14:paraId="223EFE12" w14:textId="104494EF" w:rsidR="00A63696" w:rsidRPr="00A63696" w:rsidRDefault="00A63696" w:rsidP="00F57BC3">
      <w:pPr>
        <w:pStyle w:val="SingleTxt"/>
        <w:numPr>
          <w:ilvl w:val="0"/>
          <w:numId w:val="37"/>
        </w:numPr>
        <w:spacing w:line="240" w:lineRule="exact"/>
        <w:rPr>
          <w:lang w:val="fr-FR"/>
        </w:rPr>
      </w:pPr>
      <w:r w:rsidRPr="00A63696">
        <w:rPr>
          <w:lang w:val="fr-FR"/>
        </w:rPr>
        <w:t>La politique environnementale définit le cadre et les principes fondamentaux qui doivent guider la prise en compte de la viabilité environnementale dans les activités du Secrétariat à travers le monde. Elle répond à l</w:t>
      </w:r>
      <w:r>
        <w:rPr>
          <w:lang w:val="fr-FR"/>
        </w:rPr>
        <w:t>’</w:t>
      </w:r>
      <w:r w:rsidRPr="00A63696">
        <w:rPr>
          <w:lang w:val="fr-FR"/>
        </w:rPr>
        <w:t>engagement pris par le Conseil des chefs de secrétariat des organismes des Nations Unies pour la coordination d</w:t>
      </w:r>
      <w:r>
        <w:rPr>
          <w:lang w:val="fr-FR"/>
        </w:rPr>
        <w:t>’</w:t>
      </w:r>
      <w:r w:rsidRPr="00A63696">
        <w:rPr>
          <w:lang w:val="fr-FR"/>
        </w:rPr>
        <w:t>assurer la viabilité environnementale et de mettre en œuvre des systèmes de gestion de l</w:t>
      </w:r>
      <w:r>
        <w:rPr>
          <w:lang w:val="fr-FR"/>
        </w:rPr>
        <w:t>’</w:t>
      </w:r>
      <w:r w:rsidRPr="00A63696">
        <w:rPr>
          <w:lang w:val="fr-FR"/>
        </w:rPr>
        <w:t>environnement</w:t>
      </w:r>
      <w:r w:rsidRPr="00A63696">
        <w:rPr>
          <w:vertAlign w:val="superscript"/>
          <w:lang w:val="en-GB"/>
        </w:rPr>
        <w:footnoteReference w:id="7"/>
      </w:r>
      <w:r w:rsidRPr="00A63696">
        <w:rPr>
          <w:lang w:val="fr-FR"/>
        </w:rPr>
        <w:t xml:space="preserve"> au sein de l</w:t>
      </w:r>
      <w:r>
        <w:rPr>
          <w:lang w:val="fr-FR"/>
        </w:rPr>
        <w:t>’</w:t>
      </w:r>
      <w:r w:rsidRPr="00A63696">
        <w:rPr>
          <w:lang w:val="fr-FR"/>
        </w:rPr>
        <w:t>Organisation. Elle vient accompagner la mise en œuvre du plan d</w:t>
      </w:r>
      <w:r>
        <w:rPr>
          <w:lang w:val="fr-FR"/>
        </w:rPr>
        <w:t>’</w:t>
      </w:r>
      <w:r w:rsidRPr="00A63696">
        <w:rPr>
          <w:lang w:val="fr-FR"/>
        </w:rPr>
        <w:t>action du Secrétaire général, approuvé par l</w:t>
      </w:r>
      <w:r>
        <w:rPr>
          <w:lang w:val="fr-FR"/>
        </w:rPr>
        <w:t>’</w:t>
      </w:r>
      <w:r w:rsidRPr="00A63696">
        <w:rPr>
          <w:lang w:val="fr-FR"/>
        </w:rPr>
        <w:t>Assemblée générale, visant à intégrer des pratiques de développement durable dans la gestion des opérations du Secrétariat, et des résolutions du Conseil de sécurité et de l</w:t>
      </w:r>
      <w:r>
        <w:rPr>
          <w:lang w:val="fr-FR"/>
        </w:rPr>
        <w:t>’</w:t>
      </w:r>
      <w:r w:rsidRPr="00A63696">
        <w:rPr>
          <w:lang w:val="fr-FR"/>
        </w:rPr>
        <w:t>Assemblée générale concernant la réduction de l</w:t>
      </w:r>
      <w:r>
        <w:rPr>
          <w:lang w:val="fr-FR"/>
        </w:rPr>
        <w:t>’</w:t>
      </w:r>
      <w:r w:rsidRPr="00A63696">
        <w:rPr>
          <w:lang w:val="fr-FR"/>
        </w:rPr>
        <w:t>empreinte écologique globale des missions de maintien de la paix</w:t>
      </w:r>
      <w:r w:rsidR="004B35C7" w:rsidRPr="00A63696">
        <w:rPr>
          <w:vertAlign w:val="superscript"/>
          <w:lang w:val="en-US"/>
        </w:rPr>
        <w:footnoteReference w:id="8"/>
      </w:r>
      <w:r w:rsidRPr="00A63696">
        <w:rPr>
          <w:lang w:val="fr-FR"/>
        </w:rPr>
        <w:t>.</w:t>
      </w:r>
    </w:p>
    <w:p w14:paraId="65A5D047" w14:textId="0110B34C" w:rsidR="00A63696" w:rsidRPr="00A63696" w:rsidRDefault="00A63696" w:rsidP="004B35C7">
      <w:pPr>
        <w:pStyle w:val="SingleTxt"/>
        <w:numPr>
          <w:ilvl w:val="0"/>
          <w:numId w:val="37"/>
        </w:numPr>
        <w:spacing w:line="240" w:lineRule="exact"/>
        <w:rPr>
          <w:lang w:val="fr-FR"/>
        </w:rPr>
      </w:pPr>
      <w:r w:rsidRPr="00A63696">
        <w:rPr>
          <w:lang w:val="fr-FR"/>
        </w:rPr>
        <w:t>Élaborée avec la participation des parties prenantes, la politique est conforme à l</w:t>
      </w:r>
      <w:r>
        <w:rPr>
          <w:lang w:val="fr-FR"/>
        </w:rPr>
        <w:t>’</w:t>
      </w:r>
      <w:r w:rsidRPr="00A63696">
        <w:rPr>
          <w:lang w:val="fr-FR"/>
        </w:rPr>
        <w:t>orientation stratégique, aux exigences et aux pratiques optimales à l</w:t>
      </w:r>
      <w:r>
        <w:rPr>
          <w:lang w:val="fr-FR"/>
        </w:rPr>
        <w:t>’</w:t>
      </w:r>
      <w:r w:rsidRPr="00A63696">
        <w:rPr>
          <w:lang w:val="fr-FR"/>
        </w:rPr>
        <w:t>échelle du système des Nations Unies en matière de gestion de la viabilité environnementale établies par le Programme des Nations Unies pour l</w:t>
      </w:r>
      <w:r>
        <w:rPr>
          <w:lang w:val="fr-FR"/>
        </w:rPr>
        <w:t>’</w:t>
      </w:r>
      <w:r w:rsidRPr="00A63696">
        <w:rPr>
          <w:lang w:val="fr-FR"/>
        </w:rPr>
        <w:t>environnement et le Groupe de la gestion de l</w:t>
      </w:r>
      <w:r>
        <w:rPr>
          <w:lang w:val="fr-FR"/>
        </w:rPr>
        <w:t>’</w:t>
      </w:r>
      <w:r w:rsidRPr="00A63696">
        <w:rPr>
          <w:lang w:val="fr-FR"/>
        </w:rPr>
        <w:t>environnement. Elle vise, en fin de compte, à faire en sorte que, dans les divers lieux d</w:t>
      </w:r>
      <w:r>
        <w:rPr>
          <w:lang w:val="fr-FR"/>
        </w:rPr>
        <w:t>’</w:t>
      </w:r>
      <w:r w:rsidRPr="00A63696">
        <w:rPr>
          <w:lang w:val="fr-FR"/>
        </w:rPr>
        <w:t>affectation, les activités du Secrétariat n</w:t>
      </w:r>
      <w:r>
        <w:rPr>
          <w:lang w:val="fr-FR"/>
        </w:rPr>
        <w:t>’</w:t>
      </w:r>
      <w:r w:rsidRPr="00A63696">
        <w:rPr>
          <w:lang w:val="fr-FR"/>
        </w:rPr>
        <w:t>aient pas d</w:t>
      </w:r>
      <w:r>
        <w:rPr>
          <w:lang w:val="fr-FR"/>
        </w:rPr>
        <w:t>’</w:t>
      </w:r>
      <w:r w:rsidRPr="00A63696">
        <w:rPr>
          <w:lang w:val="fr-FR"/>
        </w:rPr>
        <w:t>incidences négatives sur le climat et contribuent positivement à la protection de l</w:t>
      </w:r>
      <w:r>
        <w:rPr>
          <w:lang w:val="fr-FR"/>
        </w:rPr>
        <w:t>’</w:t>
      </w:r>
      <w:r w:rsidRPr="00A63696">
        <w:rPr>
          <w:lang w:val="fr-FR"/>
        </w:rPr>
        <w:t>environnement, chaque fois que possible.</w:t>
      </w:r>
    </w:p>
    <w:p w14:paraId="3D69E492" w14:textId="77777777" w:rsidR="004B35C7" w:rsidRPr="004B35C7" w:rsidRDefault="004B35C7" w:rsidP="004B35C7">
      <w:pPr>
        <w:pStyle w:val="SingleTxt"/>
        <w:spacing w:after="0" w:line="120" w:lineRule="exact"/>
        <w:rPr>
          <w:b/>
          <w:bCs/>
          <w:sz w:val="10"/>
          <w:lang w:val="fr-FR"/>
        </w:rPr>
      </w:pPr>
    </w:p>
    <w:p w14:paraId="201F5C91" w14:textId="77777777" w:rsidR="004B35C7" w:rsidRPr="004B35C7" w:rsidRDefault="004B35C7" w:rsidP="004B35C7">
      <w:pPr>
        <w:pStyle w:val="SingleTxt"/>
        <w:spacing w:after="0" w:line="120" w:lineRule="exact"/>
        <w:rPr>
          <w:b/>
          <w:bCs/>
          <w:sz w:val="10"/>
          <w:lang w:val="fr-FR"/>
        </w:rPr>
      </w:pPr>
    </w:p>
    <w:p w14:paraId="25342889" w14:textId="0FFEC8E4" w:rsidR="00A63696" w:rsidRPr="00A63696" w:rsidRDefault="004B35C7" w:rsidP="004B35C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sidR="00A63696" w:rsidRPr="00A63696">
        <w:rPr>
          <w:lang w:val="fr-FR"/>
        </w:rPr>
        <w:t>III.</w:t>
      </w:r>
      <w:r w:rsidR="00A63696" w:rsidRPr="00A63696">
        <w:rPr>
          <w:lang w:val="fr-FR"/>
        </w:rPr>
        <w:tab/>
        <w:t>Champ d</w:t>
      </w:r>
      <w:r w:rsidR="00A63696">
        <w:rPr>
          <w:lang w:val="fr-FR"/>
        </w:rPr>
        <w:t>’</w:t>
      </w:r>
      <w:r w:rsidR="00A63696" w:rsidRPr="00A63696">
        <w:rPr>
          <w:lang w:val="fr-FR"/>
        </w:rPr>
        <w:t>application</w:t>
      </w:r>
    </w:p>
    <w:p w14:paraId="5914F6FD" w14:textId="77777777" w:rsidR="004B35C7" w:rsidRPr="004B35C7" w:rsidRDefault="004B35C7" w:rsidP="004B35C7">
      <w:pPr>
        <w:pStyle w:val="SingleTxt"/>
        <w:spacing w:after="0" w:line="120" w:lineRule="exact"/>
        <w:rPr>
          <w:sz w:val="10"/>
          <w:lang w:val="fr-FR"/>
        </w:rPr>
      </w:pPr>
    </w:p>
    <w:p w14:paraId="7ADED193" w14:textId="77777777" w:rsidR="004B35C7" w:rsidRPr="004B35C7" w:rsidRDefault="004B35C7" w:rsidP="004B35C7">
      <w:pPr>
        <w:pStyle w:val="SingleTxt"/>
        <w:spacing w:after="0" w:line="120" w:lineRule="exact"/>
        <w:rPr>
          <w:sz w:val="10"/>
          <w:lang w:val="fr-FR"/>
        </w:rPr>
      </w:pPr>
    </w:p>
    <w:p w14:paraId="5D03C318" w14:textId="511AE638" w:rsidR="00A63696" w:rsidRPr="00A63696" w:rsidRDefault="00A63696" w:rsidP="004B35C7">
      <w:pPr>
        <w:pStyle w:val="SingleTxt"/>
        <w:numPr>
          <w:ilvl w:val="0"/>
          <w:numId w:val="37"/>
        </w:numPr>
        <w:spacing w:line="240" w:lineRule="exact"/>
        <w:rPr>
          <w:lang w:val="fr-FR"/>
        </w:rPr>
      </w:pPr>
      <w:r w:rsidRPr="00A63696">
        <w:rPr>
          <w:lang w:val="fr-FR"/>
        </w:rPr>
        <w:t>La politique porte essentiellement sur l</w:t>
      </w:r>
      <w:r>
        <w:rPr>
          <w:lang w:val="fr-FR"/>
        </w:rPr>
        <w:t>’</w:t>
      </w:r>
      <w:r w:rsidRPr="00A63696">
        <w:rPr>
          <w:lang w:val="fr-FR"/>
        </w:rPr>
        <w:t>impact sur l</w:t>
      </w:r>
      <w:r>
        <w:rPr>
          <w:lang w:val="fr-FR"/>
        </w:rPr>
        <w:t>’</w:t>
      </w:r>
      <w:r w:rsidRPr="00A63696">
        <w:rPr>
          <w:lang w:val="fr-FR"/>
        </w:rPr>
        <w:t>environnement des opérations et des installations du Secrétariat dans tous les lieux d</w:t>
      </w:r>
      <w:r>
        <w:rPr>
          <w:lang w:val="fr-FR"/>
        </w:rPr>
        <w:t>’</w:t>
      </w:r>
      <w:r w:rsidRPr="00A63696">
        <w:rPr>
          <w:lang w:val="fr-FR"/>
        </w:rPr>
        <w:t>affectation. Sachant que la viabilité environnementale ne peut être assurée que par une action collective, tous les membres du personnel et les entités du Secrétariat doivent s</w:t>
      </w:r>
      <w:r>
        <w:rPr>
          <w:lang w:val="fr-FR"/>
        </w:rPr>
        <w:t>’</w:t>
      </w:r>
      <w:r w:rsidRPr="00A63696">
        <w:rPr>
          <w:lang w:val="fr-FR"/>
        </w:rPr>
        <w:t>efforcer d</w:t>
      </w:r>
      <w:r>
        <w:rPr>
          <w:lang w:val="fr-FR"/>
        </w:rPr>
        <w:t>’</w:t>
      </w:r>
      <w:r w:rsidRPr="00A63696">
        <w:rPr>
          <w:lang w:val="fr-FR"/>
        </w:rPr>
        <w:t xml:space="preserve">appliquer les principes directeurs et les objectifs à tous les aspects des opérations du Secrétariat. </w:t>
      </w:r>
    </w:p>
    <w:p w14:paraId="746059D0" w14:textId="3C6D7E70" w:rsidR="00A63696" w:rsidRPr="00A63696" w:rsidRDefault="00A63696" w:rsidP="004B35C7">
      <w:pPr>
        <w:pStyle w:val="SingleTxt"/>
        <w:numPr>
          <w:ilvl w:val="0"/>
          <w:numId w:val="37"/>
        </w:numPr>
        <w:spacing w:line="240" w:lineRule="exact"/>
        <w:rPr>
          <w:lang w:val="fr-FR"/>
        </w:rPr>
      </w:pPr>
      <w:r w:rsidRPr="00A63696">
        <w:rPr>
          <w:lang w:val="fr-FR"/>
        </w:rPr>
        <w:t>La politique sera mise en œuvre dans le respect de l</w:t>
      </w:r>
      <w:r>
        <w:rPr>
          <w:lang w:val="fr-FR"/>
        </w:rPr>
        <w:t>’</w:t>
      </w:r>
      <w:r w:rsidRPr="00A63696">
        <w:rPr>
          <w:lang w:val="fr-FR"/>
        </w:rPr>
        <w:t>ensemble des règles, règlements et politiques des Nations Unies en vigueur, et le Secrétariat sera tenu de l</w:t>
      </w:r>
      <w:r>
        <w:rPr>
          <w:lang w:val="fr-FR"/>
        </w:rPr>
        <w:t>’</w:t>
      </w:r>
      <w:r w:rsidRPr="00A63696">
        <w:rPr>
          <w:lang w:val="fr-FR"/>
        </w:rPr>
        <w:t xml:space="preserve">appliquer aux activités menées en son nom par une tierce partie. </w:t>
      </w:r>
    </w:p>
    <w:p w14:paraId="2F62888F" w14:textId="4F985D96" w:rsidR="00A63696" w:rsidRPr="004B35C7" w:rsidRDefault="00A63696" w:rsidP="004B35C7">
      <w:pPr>
        <w:pStyle w:val="SingleTxt"/>
        <w:spacing w:after="0" w:line="120" w:lineRule="exact"/>
        <w:rPr>
          <w:b/>
          <w:bCs/>
          <w:sz w:val="10"/>
          <w:lang w:val="fr-FR"/>
        </w:rPr>
      </w:pPr>
    </w:p>
    <w:p w14:paraId="234B2799" w14:textId="153AE5D6" w:rsidR="004B35C7" w:rsidRPr="004B35C7" w:rsidRDefault="004B35C7" w:rsidP="004B35C7">
      <w:pPr>
        <w:pStyle w:val="SingleTxt"/>
        <w:spacing w:after="0" w:line="120" w:lineRule="exact"/>
        <w:rPr>
          <w:b/>
          <w:bCs/>
          <w:sz w:val="10"/>
          <w:lang w:val="fr-FR"/>
        </w:rPr>
      </w:pPr>
    </w:p>
    <w:p w14:paraId="721DA37F" w14:textId="2275220B" w:rsidR="00A63696" w:rsidRPr="00A63696" w:rsidRDefault="004B35C7" w:rsidP="004B35C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sidR="00A63696" w:rsidRPr="00A63696">
        <w:rPr>
          <w:lang w:val="fr-FR"/>
        </w:rPr>
        <w:t>IV.</w:t>
      </w:r>
      <w:r w:rsidR="00A63696" w:rsidRPr="00A63696">
        <w:rPr>
          <w:lang w:val="fr-FR"/>
        </w:rPr>
        <w:tab/>
        <w:t>Principes et objectifs</w:t>
      </w:r>
    </w:p>
    <w:p w14:paraId="76F056E0" w14:textId="77777777" w:rsidR="004B35C7" w:rsidRPr="004B35C7" w:rsidRDefault="004B35C7" w:rsidP="004B35C7">
      <w:pPr>
        <w:pStyle w:val="SingleTxt"/>
        <w:spacing w:after="0" w:line="120" w:lineRule="exact"/>
        <w:rPr>
          <w:sz w:val="10"/>
          <w:lang w:val="fr-FR"/>
        </w:rPr>
      </w:pPr>
    </w:p>
    <w:p w14:paraId="600A71EC" w14:textId="77777777" w:rsidR="004B35C7" w:rsidRPr="004B35C7" w:rsidRDefault="004B35C7" w:rsidP="004B35C7">
      <w:pPr>
        <w:pStyle w:val="SingleTxt"/>
        <w:spacing w:after="0" w:line="120" w:lineRule="exact"/>
        <w:rPr>
          <w:sz w:val="10"/>
          <w:lang w:val="fr-FR"/>
        </w:rPr>
      </w:pPr>
    </w:p>
    <w:p w14:paraId="76163F43" w14:textId="771CB458" w:rsidR="00A63696" w:rsidRPr="00A63696" w:rsidRDefault="00A63696" w:rsidP="004B35C7">
      <w:pPr>
        <w:pStyle w:val="SingleTxt"/>
        <w:numPr>
          <w:ilvl w:val="0"/>
          <w:numId w:val="37"/>
        </w:numPr>
        <w:spacing w:line="240" w:lineRule="exact"/>
        <w:rPr>
          <w:lang w:val="fr-FR"/>
        </w:rPr>
      </w:pPr>
      <w:r w:rsidRPr="00A63696">
        <w:rPr>
          <w:lang w:val="fr-FR"/>
        </w:rPr>
        <w:t>Le Secrétariat s</w:t>
      </w:r>
      <w:r>
        <w:rPr>
          <w:lang w:val="fr-FR"/>
        </w:rPr>
        <w:t>’</w:t>
      </w:r>
      <w:r w:rsidRPr="00A63696">
        <w:rPr>
          <w:lang w:val="fr-FR"/>
        </w:rPr>
        <w:t>engage, par la présente politique, à appliquer les principes et les objectifs suivants, en vue de protéger l</w:t>
      </w:r>
      <w:r>
        <w:rPr>
          <w:lang w:val="fr-FR"/>
        </w:rPr>
        <w:t>’</w:t>
      </w:r>
      <w:r w:rsidRPr="00A63696">
        <w:rPr>
          <w:lang w:val="fr-FR"/>
        </w:rPr>
        <w:t>environnement et les communautés où l</w:t>
      </w:r>
      <w:r>
        <w:rPr>
          <w:lang w:val="fr-FR"/>
        </w:rPr>
        <w:t>’</w:t>
      </w:r>
      <w:r w:rsidRPr="00A63696">
        <w:rPr>
          <w:lang w:val="fr-FR"/>
        </w:rPr>
        <w:t>Organisation exerce son action, en apportant systématiquement et constamment des améliorations qui tiennent compte des conditions locales et régionales</w:t>
      </w:r>
      <w:r w:rsidR="004B35C7" w:rsidRPr="00A63696">
        <w:rPr>
          <w:vertAlign w:val="superscript"/>
          <w:lang w:val="en-GB"/>
        </w:rPr>
        <w:footnoteReference w:id="9"/>
      </w:r>
      <w:r w:rsidRPr="00A63696">
        <w:rPr>
          <w:lang w:val="fr-FR"/>
        </w:rPr>
        <w:t>.</w:t>
      </w:r>
    </w:p>
    <w:p w14:paraId="793F77EF" w14:textId="77777777" w:rsidR="004B35C7" w:rsidRPr="004B35C7" w:rsidRDefault="004B35C7" w:rsidP="004B35C7">
      <w:pPr>
        <w:pStyle w:val="SingleTxt"/>
        <w:spacing w:after="0" w:line="120" w:lineRule="exact"/>
        <w:rPr>
          <w:b/>
          <w:bCs/>
          <w:sz w:val="10"/>
          <w:lang w:val="fr-FR"/>
        </w:rPr>
      </w:pPr>
    </w:p>
    <w:p w14:paraId="4E85DE8E" w14:textId="12E8FD32" w:rsidR="00A63696" w:rsidRDefault="004B35C7" w:rsidP="004B35C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A63696" w:rsidRPr="00A63696">
        <w:rPr>
          <w:lang w:val="fr-FR"/>
        </w:rPr>
        <w:t>Principe 1</w:t>
      </w:r>
      <w:r w:rsidR="00A63696">
        <w:rPr>
          <w:lang w:val="fr-FR"/>
        </w:rPr>
        <w:t> :</w:t>
      </w:r>
      <w:r w:rsidR="00A63696" w:rsidRPr="00A63696">
        <w:rPr>
          <w:lang w:val="fr-FR"/>
        </w:rPr>
        <w:t xml:space="preserve"> gestion de l</w:t>
      </w:r>
      <w:r w:rsidR="00A63696">
        <w:rPr>
          <w:lang w:val="fr-FR"/>
        </w:rPr>
        <w:t>’</w:t>
      </w:r>
      <w:r w:rsidR="00A63696" w:rsidRPr="00A63696">
        <w:rPr>
          <w:lang w:val="fr-FR"/>
        </w:rPr>
        <w:t>environnement</w:t>
      </w:r>
    </w:p>
    <w:p w14:paraId="7F3C5360" w14:textId="48578941" w:rsidR="004B35C7" w:rsidRDefault="004B35C7" w:rsidP="004B35C7">
      <w:pPr>
        <w:pStyle w:val="SingleTxt"/>
        <w:spacing w:after="0" w:line="120" w:lineRule="exact"/>
        <w:rPr>
          <w:sz w:val="10"/>
          <w:lang w:val="fr-FR"/>
        </w:rPr>
      </w:pPr>
    </w:p>
    <w:tbl>
      <w:tblPr>
        <w:tblW w:w="0" w:type="auto"/>
        <w:tblInd w:w="1260" w:type="dxa"/>
        <w:tblLayout w:type="fixed"/>
        <w:tblCellMar>
          <w:left w:w="0" w:type="dxa"/>
          <w:right w:w="0" w:type="dxa"/>
        </w:tblCellMar>
        <w:tblLook w:val="0000" w:firstRow="0" w:lastRow="0" w:firstColumn="0" w:lastColumn="0" w:noHBand="0" w:noVBand="0"/>
      </w:tblPr>
      <w:tblGrid>
        <w:gridCol w:w="540"/>
        <w:gridCol w:w="6888"/>
      </w:tblGrid>
      <w:tr w:rsidR="004B35C7" w:rsidRPr="007B3C3D" w14:paraId="31335278" w14:textId="77777777" w:rsidTr="007B3C3D">
        <w:tc>
          <w:tcPr>
            <w:tcW w:w="540" w:type="dxa"/>
            <w:shd w:val="clear" w:color="auto" w:fill="auto"/>
          </w:tcPr>
          <w:p w14:paraId="2D55EC64" w14:textId="5CF4E17F" w:rsidR="004B35C7" w:rsidRPr="007B3C3D" w:rsidRDefault="007B3C3D" w:rsidP="007B3C3D">
            <w:pPr>
              <w:tabs>
                <w:tab w:val="left" w:pos="288"/>
                <w:tab w:val="left" w:pos="576"/>
                <w:tab w:val="left" w:pos="864"/>
                <w:tab w:val="left" w:pos="1152"/>
              </w:tabs>
              <w:suppressAutoHyphens/>
              <w:spacing w:before="40" w:after="80"/>
              <w:ind w:right="40"/>
              <w:rPr>
                <w:lang w:val="fr-FR"/>
              </w:rPr>
            </w:pPr>
            <w:r w:rsidRPr="007B3C3D">
              <w:rPr>
                <w:lang w:val="fr-FR"/>
              </w:rPr>
              <w:t>1.1</w:t>
            </w:r>
          </w:p>
        </w:tc>
        <w:tc>
          <w:tcPr>
            <w:tcW w:w="6888" w:type="dxa"/>
            <w:shd w:val="clear" w:color="auto" w:fill="auto"/>
          </w:tcPr>
          <w:p w14:paraId="545A8F2B" w14:textId="35D9C5E4" w:rsidR="004B35C7" w:rsidRPr="007B3C3D" w:rsidRDefault="007B3C3D" w:rsidP="007B3C3D">
            <w:pPr>
              <w:tabs>
                <w:tab w:val="left" w:pos="288"/>
                <w:tab w:val="left" w:pos="576"/>
                <w:tab w:val="left" w:pos="864"/>
                <w:tab w:val="left" w:pos="1152"/>
              </w:tabs>
              <w:suppressAutoHyphens/>
              <w:spacing w:before="40" w:after="80"/>
              <w:ind w:left="144" w:right="43"/>
              <w:rPr>
                <w:lang w:val="fr-FR"/>
              </w:rPr>
            </w:pPr>
            <w:r w:rsidRPr="007B3C3D">
              <w:rPr>
                <w:lang w:val="fr-FR"/>
              </w:rPr>
              <w:t>S’efforcer de ne pas nuire à l’environnement et aux communautés</w:t>
            </w:r>
          </w:p>
        </w:tc>
      </w:tr>
      <w:tr w:rsidR="004B35C7" w:rsidRPr="007B3C3D" w14:paraId="48D34A0B" w14:textId="77777777" w:rsidTr="007B3C3D">
        <w:tc>
          <w:tcPr>
            <w:tcW w:w="540" w:type="dxa"/>
            <w:shd w:val="clear" w:color="auto" w:fill="auto"/>
          </w:tcPr>
          <w:p w14:paraId="18EF8403" w14:textId="2B8DA962" w:rsidR="004B35C7" w:rsidRPr="007B3C3D" w:rsidRDefault="007B3C3D" w:rsidP="007B3C3D">
            <w:pPr>
              <w:tabs>
                <w:tab w:val="left" w:pos="288"/>
                <w:tab w:val="left" w:pos="576"/>
                <w:tab w:val="left" w:pos="864"/>
                <w:tab w:val="left" w:pos="1152"/>
              </w:tabs>
              <w:suppressAutoHyphens/>
              <w:spacing w:before="40" w:after="80"/>
              <w:ind w:right="40"/>
              <w:rPr>
                <w:lang w:val="fr-FR"/>
              </w:rPr>
            </w:pPr>
            <w:r w:rsidRPr="007B3C3D">
              <w:rPr>
                <w:lang w:val="fr-FR"/>
              </w:rPr>
              <w:t>1.2</w:t>
            </w:r>
          </w:p>
        </w:tc>
        <w:tc>
          <w:tcPr>
            <w:tcW w:w="6888" w:type="dxa"/>
            <w:shd w:val="clear" w:color="auto" w:fill="auto"/>
          </w:tcPr>
          <w:p w14:paraId="37A82655" w14:textId="0B95041F" w:rsidR="004B35C7" w:rsidRPr="007B3C3D" w:rsidRDefault="007B3C3D" w:rsidP="007B3C3D">
            <w:pPr>
              <w:tabs>
                <w:tab w:val="left" w:pos="288"/>
                <w:tab w:val="left" w:pos="576"/>
                <w:tab w:val="left" w:pos="864"/>
                <w:tab w:val="left" w:pos="1152"/>
              </w:tabs>
              <w:suppressAutoHyphens/>
              <w:spacing w:before="40" w:after="80"/>
              <w:ind w:left="144" w:right="43"/>
              <w:rPr>
                <w:lang w:val="fr-FR"/>
              </w:rPr>
            </w:pPr>
            <w:r w:rsidRPr="007B3C3D">
              <w:rPr>
                <w:lang w:val="fr-FR"/>
              </w:rPr>
              <w:t>Respecter, à titre volontaire, les normes environnementales les plus élevées, et les dépasser lorsque cela est possible</w:t>
            </w:r>
          </w:p>
        </w:tc>
      </w:tr>
      <w:tr w:rsidR="004B35C7" w:rsidRPr="007B3C3D" w14:paraId="76866B15" w14:textId="77777777" w:rsidTr="007B3C3D">
        <w:tc>
          <w:tcPr>
            <w:tcW w:w="540" w:type="dxa"/>
            <w:shd w:val="clear" w:color="auto" w:fill="auto"/>
          </w:tcPr>
          <w:p w14:paraId="6CCC668E" w14:textId="06760AB0" w:rsidR="004B35C7" w:rsidRPr="007B3C3D" w:rsidRDefault="007B3C3D" w:rsidP="007B3C3D">
            <w:pPr>
              <w:tabs>
                <w:tab w:val="left" w:pos="288"/>
                <w:tab w:val="left" w:pos="576"/>
                <w:tab w:val="left" w:pos="864"/>
                <w:tab w:val="left" w:pos="1152"/>
              </w:tabs>
              <w:suppressAutoHyphens/>
              <w:spacing w:before="40" w:after="80"/>
              <w:ind w:right="40"/>
              <w:rPr>
                <w:lang w:val="fr-FR"/>
              </w:rPr>
            </w:pPr>
            <w:r w:rsidRPr="007B3C3D">
              <w:rPr>
                <w:lang w:val="fr-FR"/>
              </w:rPr>
              <w:t>1.3</w:t>
            </w:r>
          </w:p>
        </w:tc>
        <w:tc>
          <w:tcPr>
            <w:tcW w:w="6888" w:type="dxa"/>
            <w:shd w:val="clear" w:color="auto" w:fill="auto"/>
          </w:tcPr>
          <w:p w14:paraId="78873843" w14:textId="7DC27A56" w:rsidR="004B35C7" w:rsidRPr="007B3C3D" w:rsidRDefault="007B3C3D" w:rsidP="007B3C3D">
            <w:pPr>
              <w:tabs>
                <w:tab w:val="left" w:pos="288"/>
                <w:tab w:val="left" w:pos="576"/>
                <w:tab w:val="left" w:pos="864"/>
                <w:tab w:val="left" w:pos="1152"/>
              </w:tabs>
              <w:suppressAutoHyphens/>
              <w:spacing w:before="40" w:after="80"/>
              <w:ind w:left="144" w:right="43"/>
              <w:rPr>
                <w:lang w:val="fr-FR"/>
              </w:rPr>
            </w:pPr>
            <w:r w:rsidRPr="007B3C3D">
              <w:rPr>
                <w:lang w:val="fr-FR"/>
              </w:rPr>
              <w:t xml:space="preserve">Multiplier les occasions d’apporter une contribution positive à l’environnement </w:t>
            </w:r>
          </w:p>
        </w:tc>
      </w:tr>
      <w:tr w:rsidR="007B3C3D" w:rsidRPr="007B3C3D" w14:paraId="469FC131" w14:textId="77777777" w:rsidTr="007B3C3D">
        <w:tc>
          <w:tcPr>
            <w:tcW w:w="7428" w:type="dxa"/>
            <w:gridSpan w:val="2"/>
            <w:shd w:val="clear" w:color="auto" w:fill="auto"/>
          </w:tcPr>
          <w:p w14:paraId="742B927D" w14:textId="66AD4C88" w:rsidR="007B3C3D" w:rsidRPr="007B3C3D" w:rsidRDefault="007B3C3D" w:rsidP="00BD479B">
            <w:pPr>
              <w:tabs>
                <w:tab w:val="left" w:pos="288"/>
                <w:tab w:val="left" w:pos="576"/>
                <w:tab w:val="left" w:pos="864"/>
                <w:tab w:val="left" w:pos="1152"/>
              </w:tabs>
              <w:suppressAutoHyphens/>
              <w:spacing w:before="40" w:after="80"/>
              <w:ind w:left="144" w:right="43" w:hanging="144"/>
              <w:rPr>
                <w:i/>
                <w:iCs/>
                <w:lang w:val="fr-FR"/>
              </w:rPr>
            </w:pPr>
            <w:r w:rsidRPr="007B3C3D">
              <w:rPr>
                <w:i/>
                <w:iCs/>
                <w:lang w:val="fr-FR"/>
              </w:rPr>
              <w:t>Objectifs connexes</w:t>
            </w:r>
          </w:p>
        </w:tc>
      </w:tr>
      <w:tr w:rsidR="004B35C7" w:rsidRPr="007B3C3D" w14:paraId="037F43DB" w14:textId="77777777" w:rsidTr="007B3C3D">
        <w:tc>
          <w:tcPr>
            <w:tcW w:w="540" w:type="dxa"/>
            <w:shd w:val="clear" w:color="auto" w:fill="auto"/>
          </w:tcPr>
          <w:p w14:paraId="79C35156" w14:textId="215DDB72" w:rsidR="004B35C7" w:rsidRPr="007B3C3D" w:rsidRDefault="007B3C3D" w:rsidP="007B3C3D">
            <w:pPr>
              <w:tabs>
                <w:tab w:val="left" w:pos="288"/>
                <w:tab w:val="left" w:pos="576"/>
                <w:tab w:val="left" w:pos="864"/>
                <w:tab w:val="left" w:pos="1152"/>
              </w:tabs>
              <w:suppressAutoHyphens/>
              <w:spacing w:before="40" w:after="80"/>
              <w:ind w:right="40"/>
              <w:rPr>
                <w:lang w:val="fr-FR"/>
              </w:rPr>
            </w:pPr>
            <w:r w:rsidRPr="007B3C3D">
              <w:rPr>
                <w:lang w:val="fr-FR"/>
              </w:rPr>
              <w:t>a</w:t>
            </w:r>
            <w:r>
              <w:rPr>
                <w:lang w:val="fr-FR"/>
              </w:rPr>
              <w:t>.</w:t>
            </w:r>
          </w:p>
        </w:tc>
        <w:tc>
          <w:tcPr>
            <w:tcW w:w="6888" w:type="dxa"/>
            <w:shd w:val="clear" w:color="auto" w:fill="auto"/>
          </w:tcPr>
          <w:p w14:paraId="55143698" w14:textId="3EE40DF6" w:rsidR="004B35C7" w:rsidRPr="007B3C3D" w:rsidRDefault="007B3C3D" w:rsidP="007B3C3D">
            <w:pPr>
              <w:tabs>
                <w:tab w:val="left" w:pos="288"/>
                <w:tab w:val="left" w:pos="576"/>
                <w:tab w:val="left" w:pos="864"/>
                <w:tab w:val="left" w:pos="1152"/>
              </w:tabs>
              <w:suppressAutoHyphens/>
              <w:spacing w:before="40" w:after="80"/>
              <w:ind w:left="144" w:right="43"/>
              <w:rPr>
                <w:lang w:val="fr-FR"/>
              </w:rPr>
            </w:pPr>
            <w:r w:rsidRPr="007B3C3D">
              <w:rPr>
                <w:lang w:val="fr-FR"/>
              </w:rPr>
              <w:t>Prévention de la pollution de l’eau, de la terre et de l’air</w:t>
            </w:r>
          </w:p>
        </w:tc>
      </w:tr>
      <w:tr w:rsidR="004B35C7" w:rsidRPr="007B3C3D" w14:paraId="515E3BDF" w14:textId="77777777" w:rsidTr="007B3C3D">
        <w:tc>
          <w:tcPr>
            <w:tcW w:w="540" w:type="dxa"/>
            <w:shd w:val="clear" w:color="auto" w:fill="auto"/>
          </w:tcPr>
          <w:p w14:paraId="445AEBD8" w14:textId="28B85651" w:rsidR="004B35C7" w:rsidRPr="007B3C3D" w:rsidRDefault="007B3C3D" w:rsidP="007B3C3D">
            <w:pPr>
              <w:tabs>
                <w:tab w:val="left" w:pos="288"/>
                <w:tab w:val="left" w:pos="576"/>
                <w:tab w:val="left" w:pos="864"/>
                <w:tab w:val="left" w:pos="1152"/>
              </w:tabs>
              <w:suppressAutoHyphens/>
              <w:spacing w:before="40" w:after="80"/>
              <w:ind w:right="40"/>
              <w:rPr>
                <w:lang w:val="fr-FR"/>
              </w:rPr>
            </w:pPr>
            <w:r w:rsidRPr="007B3C3D">
              <w:rPr>
                <w:lang w:val="fr-FR"/>
              </w:rPr>
              <w:t>b</w:t>
            </w:r>
            <w:r>
              <w:rPr>
                <w:lang w:val="fr-FR"/>
              </w:rPr>
              <w:t>.</w:t>
            </w:r>
          </w:p>
        </w:tc>
        <w:tc>
          <w:tcPr>
            <w:tcW w:w="6888" w:type="dxa"/>
            <w:shd w:val="clear" w:color="auto" w:fill="auto"/>
          </w:tcPr>
          <w:p w14:paraId="6F169BA7" w14:textId="536B969D" w:rsidR="004B35C7" w:rsidRPr="007B3C3D" w:rsidRDefault="007B3C3D" w:rsidP="007B3C3D">
            <w:pPr>
              <w:tabs>
                <w:tab w:val="left" w:pos="288"/>
                <w:tab w:val="left" w:pos="576"/>
                <w:tab w:val="left" w:pos="864"/>
                <w:tab w:val="left" w:pos="1152"/>
              </w:tabs>
              <w:suppressAutoHyphens/>
              <w:spacing w:before="40" w:after="80"/>
              <w:ind w:left="144" w:right="43"/>
              <w:rPr>
                <w:lang w:val="fr-FR"/>
              </w:rPr>
            </w:pPr>
            <w:r w:rsidRPr="007B3C3D">
              <w:rPr>
                <w:lang w:val="fr-FR"/>
              </w:rPr>
              <w:t>Réduction des émissions de gaz à effet de serre</w:t>
            </w:r>
          </w:p>
        </w:tc>
      </w:tr>
      <w:tr w:rsidR="004B35C7" w:rsidRPr="007B3C3D" w14:paraId="62776A98" w14:textId="77777777" w:rsidTr="007B3C3D">
        <w:tc>
          <w:tcPr>
            <w:tcW w:w="540" w:type="dxa"/>
            <w:shd w:val="clear" w:color="auto" w:fill="auto"/>
          </w:tcPr>
          <w:p w14:paraId="272BAA90" w14:textId="42D43A37" w:rsidR="004B35C7" w:rsidRPr="007B3C3D" w:rsidRDefault="007B3C3D" w:rsidP="007B3C3D">
            <w:pPr>
              <w:tabs>
                <w:tab w:val="left" w:pos="288"/>
                <w:tab w:val="left" w:pos="576"/>
                <w:tab w:val="left" w:pos="864"/>
                <w:tab w:val="left" w:pos="1152"/>
              </w:tabs>
              <w:suppressAutoHyphens/>
              <w:spacing w:before="40" w:after="80"/>
              <w:ind w:right="40"/>
              <w:rPr>
                <w:lang w:val="fr-FR"/>
              </w:rPr>
            </w:pPr>
            <w:r w:rsidRPr="007B3C3D">
              <w:rPr>
                <w:lang w:val="fr-FR"/>
              </w:rPr>
              <w:t>c</w:t>
            </w:r>
            <w:r>
              <w:rPr>
                <w:lang w:val="fr-FR"/>
              </w:rPr>
              <w:t>.</w:t>
            </w:r>
          </w:p>
        </w:tc>
        <w:tc>
          <w:tcPr>
            <w:tcW w:w="6888" w:type="dxa"/>
            <w:shd w:val="clear" w:color="auto" w:fill="auto"/>
          </w:tcPr>
          <w:p w14:paraId="513B13E7" w14:textId="26253335" w:rsidR="004B35C7" w:rsidRPr="007B3C3D" w:rsidRDefault="007B3C3D" w:rsidP="007B3C3D">
            <w:pPr>
              <w:tabs>
                <w:tab w:val="left" w:pos="288"/>
                <w:tab w:val="left" w:pos="576"/>
                <w:tab w:val="left" w:pos="864"/>
                <w:tab w:val="left" w:pos="1152"/>
              </w:tabs>
              <w:suppressAutoHyphens/>
              <w:spacing w:before="40" w:after="80"/>
              <w:ind w:left="144" w:right="43"/>
              <w:rPr>
                <w:lang w:val="fr-FR"/>
              </w:rPr>
            </w:pPr>
            <w:r w:rsidRPr="007B3C3D">
              <w:rPr>
                <w:lang w:val="fr-FR"/>
              </w:rPr>
              <w:t>Fourniture d’un lieu de travail sûr et sain</w:t>
            </w:r>
          </w:p>
        </w:tc>
      </w:tr>
      <w:tr w:rsidR="007B3C3D" w:rsidRPr="007B3C3D" w14:paraId="7DBA8969" w14:textId="77777777" w:rsidTr="007B3C3D">
        <w:tc>
          <w:tcPr>
            <w:tcW w:w="540" w:type="dxa"/>
            <w:shd w:val="clear" w:color="auto" w:fill="auto"/>
          </w:tcPr>
          <w:p w14:paraId="0E4F2B55" w14:textId="62CA332F" w:rsidR="007B3C3D" w:rsidRPr="007B3C3D" w:rsidRDefault="007B3C3D" w:rsidP="007B3C3D">
            <w:pPr>
              <w:tabs>
                <w:tab w:val="left" w:pos="288"/>
                <w:tab w:val="left" w:pos="576"/>
                <w:tab w:val="left" w:pos="864"/>
                <w:tab w:val="left" w:pos="1152"/>
              </w:tabs>
              <w:suppressAutoHyphens/>
              <w:spacing w:before="40" w:after="80"/>
              <w:ind w:right="40"/>
              <w:rPr>
                <w:lang w:val="fr-FR"/>
              </w:rPr>
            </w:pPr>
            <w:r w:rsidRPr="007B3C3D">
              <w:rPr>
                <w:lang w:val="fr-FR"/>
              </w:rPr>
              <w:t>d</w:t>
            </w:r>
            <w:r>
              <w:rPr>
                <w:lang w:val="fr-FR"/>
              </w:rPr>
              <w:t>.</w:t>
            </w:r>
          </w:p>
        </w:tc>
        <w:tc>
          <w:tcPr>
            <w:tcW w:w="6888" w:type="dxa"/>
            <w:shd w:val="clear" w:color="auto" w:fill="auto"/>
          </w:tcPr>
          <w:p w14:paraId="0E3E0E62" w14:textId="39BF5DB2" w:rsidR="007B3C3D" w:rsidRPr="007B3C3D" w:rsidRDefault="007B3C3D" w:rsidP="007B3C3D">
            <w:pPr>
              <w:tabs>
                <w:tab w:val="left" w:pos="288"/>
                <w:tab w:val="left" w:pos="576"/>
                <w:tab w:val="left" w:pos="864"/>
                <w:tab w:val="left" w:pos="1152"/>
              </w:tabs>
              <w:suppressAutoHyphens/>
              <w:spacing w:before="40" w:after="80"/>
              <w:ind w:left="144" w:right="43"/>
              <w:rPr>
                <w:lang w:val="fr-FR"/>
              </w:rPr>
            </w:pPr>
            <w:r w:rsidRPr="007B3C3D">
              <w:rPr>
                <w:lang w:val="fr-FR"/>
              </w:rPr>
              <w:t>Contribution à la préservation et à la remise en état des écosystèmes et du patrimoine culturel</w:t>
            </w:r>
          </w:p>
        </w:tc>
      </w:tr>
    </w:tbl>
    <w:p w14:paraId="3DF71BC3" w14:textId="7E8991C4" w:rsidR="004B35C7" w:rsidRPr="007B3C3D" w:rsidRDefault="004B35C7" w:rsidP="007B3C3D">
      <w:pPr>
        <w:pStyle w:val="SingleTxt"/>
        <w:spacing w:after="0" w:line="120" w:lineRule="exact"/>
        <w:rPr>
          <w:sz w:val="10"/>
          <w:lang w:val="fr-FR"/>
        </w:rPr>
      </w:pPr>
    </w:p>
    <w:p w14:paraId="7EAA1984" w14:textId="2125460D" w:rsidR="007B3C3D" w:rsidRPr="007B3C3D" w:rsidRDefault="007B3C3D" w:rsidP="007B3C3D">
      <w:pPr>
        <w:pStyle w:val="SingleTxt"/>
        <w:spacing w:after="0" w:line="120" w:lineRule="exact"/>
        <w:rPr>
          <w:sz w:val="10"/>
          <w:lang w:val="fr-FR"/>
        </w:rPr>
      </w:pPr>
    </w:p>
    <w:p w14:paraId="4C058F03" w14:textId="281C6045" w:rsidR="00BD479B" w:rsidRDefault="00BD479B" w:rsidP="00BD479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BD479B">
        <w:rPr>
          <w:lang w:val="fr-FR"/>
        </w:rPr>
        <w:t>Principe 2</w:t>
      </w:r>
      <w:r>
        <w:rPr>
          <w:lang w:val="fr-FR"/>
        </w:rPr>
        <w:t> </w:t>
      </w:r>
      <w:r w:rsidRPr="00BD479B">
        <w:rPr>
          <w:lang w:val="fr-FR"/>
        </w:rPr>
        <w:t>: efficacité de l’utilisation des ressources et des opérations</w:t>
      </w:r>
    </w:p>
    <w:p w14:paraId="4F83943D" w14:textId="05DAC766" w:rsidR="00BD479B" w:rsidRPr="00BD479B" w:rsidRDefault="00BD479B" w:rsidP="00BD479B">
      <w:pPr>
        <w:pStyle w:val="SingleTxt"/>
        <w:spacing w:after="0" w:line="120" w:lineRule="exact"/>
        <w:rPr>
          <w:sz w:val="10"/>
          <w:lang w:val="fr-FR"/>
        </w:rPr>
      </w:pPr>
    </w:p>
    <w:tbl>
      <w:tblPr>
        <w:tblW w:w="0" w:type="auto"/>
        <w:tblInd w:w="1260" w:type="dxa"/>
        <w:tblLayout w:type="fixed"/>
        <w:tblCellMar>
          <w:left w:w="0" w:type="dxa"/>
          <w:right w:w="0" w:type="dxa"/>
        </w:tblCellMar>
        <w:tblLook w:val="0000" w:firstRow="0" w:lastRow="0" w:firstColumn="0" w:lastColumn="0" w:noHBand="0" w:noVBand="0"/>
      </w:tblPr>
      <w:tblGrid>
        <w:gridCol w:w="540"/>
        <w:gridCol w:w="6888"/>
      </w:tblGrid>
      <w:tr w:rsidR="00247A53" w:rsidRPr="007B3C3D" w14:paraId="4D7518F4" w14:textId="77777777" w:rsidTr="00322D5E">
        <w:tc>
          <w:tcPr>
            <w:tcW w:w="540" w:type="dxa"/>
            <w:shd w:val="clear" w:color="auto" w:fill="auto"/>
          </w:tcPr>
          <w:p w14:paraId="1BE1B8A3" w14:textId="15B67E1D" w:rsidR="00247A53" w:rsidRPr="007B3C3D" w:rsidRDefault="00247A53" w:rsidP="00322D5E">
            <w:pPr>
              <w:tabs>
                <w:tab w:val="left" w:pos="288"/>
                <w:tab w:val="left" w:pos="576"/>
                <w:tab w:val="left" w:pos="864"/>
                <w:tab w:val="left" w:pos="1152"/>
              </w:tabs>
              <w:suppressAutoHyphens/>
              <w:spacing w:before="40" w:after="80"/>
              <w:ind w:right="40"/>
              <w:rPr>
                <w:lang w:val="fr-FR"/>
              </w:rPr>
            </w:pPr>
            <w:r>
              <w:rPr>
                <w:lang w:val="fr-FR"/>
              </w:rPr>
              <w:t>2.</w:t>
            </w:r>
            <w:r w:rsidRPr="007B3C3D">
              <w:rPr>
                <w:lang w:val="fr-FR"/>
              </w:rPr>
              <w:t>1</w:t>
            </w:r>
          </w:p>
        </w:tc>
        <w:tc>
          <w:tcPr>
            <w:tcW w:w="6888" w:type="dxa"/>
            <w:shd w:val="clear" w:color="auto" w:fill="auto"/>
          </w:tcPr>
          <w:p w14:paraId="3D750607" w14:textId="660F6BA0" w:rsidR="00247A53" w:rsidRPr="007B3C3D" w:rsidRDefault="00247A53" w:rsidP="00322D5E">
            <w:pPr>
              <w:tabs>
                <w:tab w:val="left" w:pos="288"/>
                <w:tab w:val="left" w:pos="576"/>
                <w:tab w:val="left" w:pos="864"/>
                <w:tab w:val="left" w:pos="1152"/>
              </w:tabs>
              <w:suppressAutoHyphens/>
              <w:spacing w:before="40" w:after="80"/>
              <w:ind w:left="144" w:right="43"/>
              <w:rPr>
                <w:lang w:val="fr-FR"/>
              </w:rPr>
            </w:pPr>
            <w:r w:rsidRPr="00247A53">
              <w:rPr>
                <w:lang w:val="fr-FR"/>
              </w:rPr>
              <w:t>Préserver les ressources naturelles</w:t>
            </w:r>
          </w:p>
        </w:tc>
      </w:tr>
      <w:tr w:rsidR="00247A53" w:rsidRPr="007B3C3D" w14:paraId="7F584DE1" w14:textId="77777777" w:rsidTr="00322D5E">
        <w:tc>
          <w:tcPr>
            <w:tcW w:w="540" w:type="dxa"/>
            <w:shd w:val="clear" w:color="auto" w:fill="auto"/>
          </w:tcPr>
          <w:p w14:paraId="204B1D63" w14:textId="4315FA96" w:rsidR="00247A53" w:rsidRPr="007B3C3D" w:rsidRDefault="00247A53" w:rsidP="00322D5E">
            <w:pPr>
              <w:tabs>
                <w:tab w:val="left" w:pos="288"/>
                <w:tab w:val="left" w:pos="576"/>
                <w:tab w:val="left" w:pos="864"/>
                <w:tab w:val="left" w:pos="1152"/>
              </w:tabs>
              <w:suppressAutoHyphens/>
              <w:spacing w:before="40" w:after="80"/>
              <w:ind w:right="40"/>
              <w:rPr>
                <w:lang w:val="fr-FR"/>
              </w:rPr>
            </w:pPr>
            <w:r>
              <w:rPr>
                <w:lang w:val="fr-FR"/>
              </w:rPr>
              <w:t>2</w:t>
            </w:r>
            <w:r w:rsidRPr="007B3C3D">
              <w:rPr>
                <w:lang w:val="fr-FR"/>
              </w:rPr>
              <w:t>.2</w:t>
            </w:r>
          </w:p>
        </w:tc>
        <w:tc>
          <w:tcPr>
            <w:tcW w:w="6888" w:type="dxa"/>
            <w:shd w:val="clear" w:color="auto" w:fill="auto"/>
          </w:tcPr>
          <w:p w14:paraId="7CB32325" w14:textId="5F342AEA" w:rsidR="00247A53" w:rsidRPr="007B3C3D" w:rsidRDefault="00247A53" w:rsidP="00322D5E">
            <w:pPr>
              <w:tabs>
                <w:tab w:val="left" w:pos="288"/>
                <w:tab w:val="left" w:pos="576"/>
                <w:tab w:val="left" w:pos="864"/>
                <w:tab w:val="left" w:pos="1152"/>
              </w:tabs>
              <w:suppressAutoHyphens/>
              <w:spacing w:before="40" w:after="80"/>
              <w:ind w:left="144" w:right="43"/>
              <w:rPr>
                <w:lang w:val="fr-FR"/>
              </w:rPr>
            </w:pPr>
            <w:r w:rsidRPr="00247A53">
              <w:rPr>
                <w:lang w:val="fr-FR"/>
              </w:rPr>
              <w:t>Optimiser la consommation d’énergie durable</w:t>
            </w:r>
          </w:p>
        </w:tc>
      </w:tr>
      <w:tr w:rsidR="00247A53" w:rsidRPr="007B3C3D" w14:paraId="4DF6B913" w14:textId="77777777" w:rsidTr="00322D5E">
        <w:tc>
          <w:tcPr>
            <w:tcW w:w="540" w:type="dxa"/>
            <w:shd w:val="clear" w:color="auto" w:fill="auto"/>
          </w:tcPr>
          <w:p w14:paraId="79B0B249" w14:textId="228D8D4B" w:rsidR="00247A53" w:rsidRPr="007B3C3D" w:rsidRDefault="00247A53" w:rsidP="00322D5E">
            <w:pPr>
              <w:tabs>
                <w:tab w:val="left" w:pos="288"/>
                <w:tab w:val="left" w:pos="576"/>
                <w:tab w:val="left" w:pos="864"/>
                <w:tab w:val="left" w:pos="1152"/>
              </w:tabs>
              <w:suppressAutoHyphens/>
              <w:spacing w:before="40" w:after="80"/>
              <w:ind w:right="40"/>
              <w:rPr>
                <w:lang w:val="fr-FR"/>
              </w:rPr>
            </w:pPr>
            <w:r>
              <w:rPr>
                <w:lang w:val="fr-FR"/>
              </w:rPr>
              <w:t>2</w:t>
            </w:r>
            <w:r w:rsidRPr="007B3C3D">
              <w:rPr>
                <w:lang w:val="fr-FR"/>
              </w:rPr>
              <w:t>.3</w:t>
            </w:r>
          </w:p>
        </w:tc>
        <w:tc>
          <w:tcPr>
            <w:tcW w:w="6888" w:type="dxa"/>
            <w:shd w:val="clear" w:color="auto" w:fill="auto"/>
          </w:tcPr>
          <w:p w14:paraId="0AB49CF9" w14:textId="109AE616" w:rsidR="00247A53" w:rsidRPr="007B3C3D" w:rsidRDefault="00247A53" w:rsidP="00322D5E">
            <w:pPr>
              <w:tabs>
                <w:tab w:val="left" w:pos="288"/>
                <w:tab w:val="left" w:pos="576"/>
                <w:tab w:val="left" w:pos="864"/>
                <w:tab w:val="left" w:pos="1152"/>
              </w:tabs>
              <w:suppressAutoHyphens/>
              <w:spacing w:before="40" w:after="80"/>
              <w:ind w:left="144" w:right="43"/>
              <w:rPr>
                <w:lang w:val="fr-FR"/>
              </w:rPr>
            </w:pPr>
            <w:r w:rsidRPr="00247A53">
              <w:rPr>
                <w:lang w:val="fr-FR"/>
              </w:rPr>
              <w:t>Réduire la production de déchets et viser l’objectif zéro déchets</w:t>
            </w:r>
          </w:p>
        </w:tc>
      </w:tr>
      <w:tr w:rsidR="00247A53" w:rsidRPr="007B3C3D" w14:paraId="28479930" w14:textId="77777777" w:rsidTr="00322D5E">
        <w:tc>
          <w:tcPr>
            <w:tcW w:w="7428" w:type="dxa"/>
            <w:gridSpan w:val="2"/>
            <w:shd w:val="clear" w:color="auto" w:fill="auto"/>
          </w:tcPr>
          <w:p w14:paraId="0D26E5B9" w14:textId="77777777" w:rsidR="00247A53" w:rsidRPr="007B3C3D" w:rsidRDefault="00247A53" w:rsidP="00BD479B">
            <w:pPr>
              <w:tabs>
                <w:tab w:val="left" w:pos="288"/>
                <w:tab w:val="left" w:pos="576"/>
                <w:tab w:val="left" w:pos="864"/>
                <w:tab w:val="left" w:pos="1152"/>
              </w:tabs>
              <w:suppressAutoHyphens/>
              <w:spacing w:before="40" w:after="80"/>
              <w:ind w:left="144" w:right="43" w:hanging="144"/>
              <w:rPr>
                <w:i/>
                <w:iCs/>
                <w:lang w:val="fr-FR"/>
              </w:rPr>
            </w:pPr>
            <w:r w:rsidRPr="007B3C3D">
              <w:rPr>
                <w:i/>
                <w:iCs/>
                <w:lang w:val="fr-FR"/>
              </w:rPr>
              <w:t>Objectifs connexes</w:t>
            </w:r>
          </w:p>
        </w:tc>
      </w:tr>
      <w:tr w:rsidR="00247A53" w:rsidRPr="007B3C3D" w14:paraId="781E3BD9" w14:textId="77777777" w:rsidTr="00322D5E">
        <w:tc>
          <w:tcPr>
            <w:tcW w:w="540" w:type="dxa"/>
            <w:shd w:val="clear" w:color="auto" w:fill="auto"/>
          </w:tcPr>
          <w:p w14:paraId="5DCC9C01" w14:textId="77777777" w:rsidR="00247A53" w:rsidRPr="007B3C3D" w:rsidRDefault="00247A53" w:rsidP="00322D5E">
            <w:pPr>
              <w:tabs>
                <w:tab w:val="left" w:pos="288"/>
                <w:tab w:val="left" w:pos="576"/>
                <w:tab w:val="left" w:pos="864"/>
                <w:tab w:val="left" w:pos="1152"/>
              </w:tabs>
              <w:suppressAutoHyphens/>
              <w:spacing w:before="40" w:after="80"/>
              <w:ind w:right="40"/>
              <w:rPr>
                <w:lang w:val="fr-FR"/>
              </w:rPr>
            </w:pPr>
            <w:r w:rsidRPr="007B3C3D">
              <w:rPr>
                <w:lang w:val="fr-FR"/>
              </w:rPr>
              <w:t>a</w:t>
            </w:r>
            <w:r>
              <w:rPr>
                <w:lang w:val="fr-FR"/>
              </w:rPr>
              <w:t>.</w:t>
            </w:r>
          </w:p>
        </w:tc>
        <w:tc>
          <w:tcPr>
            <w:tcW w:w="6888" w:type="dxa"/>
            <w:shd w:val="clear" w:color="auto" w:fill="auto"/>
          </w:tcPr>
          <w:p w14:paraId="0D89BCD7" w14:textId="76491299" w:rsidR="00247A53" w:rsidRPr="007B3C3D" w:rsidRDefault="00BD479B" w:rsidP="00322D5E">
            <w:pPr>
              <w:tabs>
                <w:tab w:val="left" w:pos="288"/>
                <w:tab w:val="left" w:pos="576"/>
                <w:tab w:val="left" w:pos="864"/>
                <w:tab w:val="left" w:pos="1152"/>
              </w:tabs>
              <w:suppressAutoHyphens/>
              <w:spacing w:before="40" w:after="80"/>
              <w:ind w:left="144" w:right="43"/>
              <w:rPr>
                <w:lang w:val="fr-FR"/>
              </w:rPr>
            </w:pPr>
            <w:r w:rsidRPr="00BD479B">
              <w:rPr>
                <w:lang w:val="fr-FR"/>
              </w:rPr>
              <w:t>Réduction de la consommation d’énergie</w:t>
            </w:r>
          </w:p>
        </w:tc>
      </w:tr>
      <w:tr w:rsidR="00247A53" w:rsidRPr="007B3C3D" w14:paraId="520074F0" w14:textId="77777777" w:rsidTr="00322D5E">
        <w:tc>
          <w:tcPr>
            <w:tcW w:w="540" w:type="dxa"/>
            <w:shd w:val="clear" w:color="auto" w:fill="auto"/>
          </w:tcPr>
          <w:p w14:paraId="3AEAF96E" w14:textId="77777777" w:rsidR="00247A53" w:rsidRPr="007B3C3D" w:rsidRDefault="00247A53" w:rsidP="00322D5E">
            <w:pPr>
              <w:tabs>
                <w:tab w:val="left" w:pos="288"/>
                <w:tab w:val="left" w:pos="576"/>
                <w:tab w:val="left" w:pos="864"/>
                <w:tab w:val="left" w:pos="1152"/>
              </w:tabs>
              <w:suppressAutoHyphens/>
              <w:spacing w:before="40" w:after="80"/>
              <w:ind w:right="40"/>
              <w:rPr>
                <w:lang w:val="fr-FR"/>
              </w:rPr>
            </w:pPr>
            <w:r w:rsidRPr="007B3C3D">
              <w:rPr>
                <w:lang w:val="fr-FR"/>
              </w:rPr>
              <w:t>b</w:t>
            </w:r>
            <w:r>
              <w:rPr>
                <w:lang w:val="fr-FR"/>
              </w:rPr>
              <w:t>.</w:t>
            </w:r>
          </w:p>
        </w:tc>
        <w:tc>
          <w:tcPr>
            <w:tcW w:w="6888" w:type="dxa"/>
            <w:shd w:val="clear" w:color="auto" w:fill="auto"/>
          </w:tcPr>
          <w:p w14:paraId="636FC5B4" w14:textId="46AF97AE" w:rsidR="00247A53" w:rsidRPr="007B3C3D" w:rsidRDefault="00BD479B" w:rsidP="00322D5E">
            <w:pPr>
              <w:tabs>
                <w:tab w:val="left" w:pos="288"/>
                <w:tab w:val="left" w:pos="576"/>
                <w:tab w:val="left" w:pos="864"/>
                <w:tab w:val="left" w:pos="1152"/>
              </w:tabs>
              <w:suppressAutoHyphens/>
              <w:spacing w:before="40" w:after="80"/>
              <w:ind w:left="144" w:right="43"/>
              <w:rPr>
                <w:lang w:val="fr-FR"/>
              </w:rPr>
            </w:pPr>
            <w:r w:rsidRPr="00BD479B">
              <w:rPr>
                <w:lang w:val="fr-FR"/>
              </w:rPr>
              <w:t>Augmentation de la conversion à des sources d’énergie renouvelables</w:t>
            </w:r>
          </w:p>
        </w:tc>
      </w:tr>
      <w:tr w:rsidR="00247A53" w:rsidRPr="007B3C3D" w14:paraId="7E9825F7" w14:textId="77777777" w:rsidTr="00322D5E">
        <w:tc>
          <w:tcPr>
            <w:tcW w:w="540" w:type="dxa"/>
            <w:shd w:val="clear" w:color="auto" w:fill="auto"/>
          </w:tcPr>
          <w:p w14:paraId="76930043" w14:textId="77777777" w:rsidR="00247A53" w:rsidRPr="007B3C3D" w:rsidRDefault="00247A53" w:rsidP="00322D5E">
            <w:pPr>
              <w:tabs>
                <w:tab w:val="left" w:pos="288"/>
                <w:tab w:val="left" w:pos="576"/>
                <w:tab w:val="left" w:pos="864"/>
                <w:tab w:val="left" w:pos="1152"/>
              </w:tabs>
              <w:suppressAutoHyphens/>
              <w:spacing w:before="40" w:after="80"/>
              <w:ind w:right="40"/>
              <w:rPr>
                <w:lang w:val="fr-FR"/>
              </w:rPr>
            </w:pPr>
            <w:r w:rsidRPr="007B3C3D">
              <w:rPr>
                <w:lang w:val="fr-FR"/>
              </w:rPr>
              <w:t>c</w:t>
            </w:r>
            <w:r>
              <w:rPr>
                <w:lang w:val="fr-FR"/>
              </w:rPr>
              <w:t>.</w:t>
            </w:r>
          </w:p>
        </w:tc>
        <w:tc>
          <w:tcPr>
            <w:tcW w:w="6888" w:type="dxa"/>
            <w:shd w:val="clear" w:color="auto" w:fill="auto"/>
          </w:tcPr>
          <w:p w14:paraId="007E0BD2" w14:textId="37D26EA9" w:rsidR="00247A53" w:rsidRPr="007B3C3D" w:rsidRDefault="00BD479B" w:rsidP="00322D5E">
            <w:pPr>
              <w:tabs>
                <w:tab w:val="left" w:pos="288"/>
                <w:tab w:val="left" w:pos="576"/>
                <w:tab w:val="left" w:pos="864"/>
                <w:tab w:val="left" w:pos="1152"/>
              </w:tabs>
              <w:suppressAutoHyphens/>
              <w:spacing w:before="40" w:after="80"/>
              <w:ind w:left="144" w:right="43"/>
              <w:rPr>
                <w:lang w:val="fr-FR"/>
              </w:rPr>
            </w:pPr>
            <w:r w:rsidRPr="00BD479B">
              <w:rPr>
                <w:lang w:val="fr-FR"/>
              </w:rPr>
              <w:t>Réduction de la consommation d’eau</w:t>
            </w:r>
          </w:p>
        </w:tc>
      </w:tr>
      <w:tr w:rsidR="00247A53" w:rsidRPr="007B3C3D" w14:paraId="4EC1D089" w14:textId="77777777" w:rsidTr="00322D5E">
        <w:tc>
          <w:tcPr>
            <w:tcW w:w="540" w:type="dxa"/>
            <w:shd w:val="clear" w:color="auto" w:fill="auto"/>
          </w:tcPr>
          <w:p w14:paraId="2DF57B28" w14:textId="77777777" w:rsidR="00247A53" w:rsidRPr="007B3C3D" w:rsidRDefault="00247A53" w:rsidP="00322D5E">
            <w:pPr>
              <w:tabs>
                <w:tab w:val="left" w:pos="288"/>
                <w:tab w:val="left" w:pos="576"/>
                <w:tab w:val="left" w:pos="864"/>
                <w:tab w:val="left" w:pos="1152"/>
              </w:tabs>
              <w:suppressAutoHyphens/>
              <w:spacing w:before="40" w:after="80"/>
              <w:ind w:right="40"/>
              <w:rPr>
                <w:lang w:val="fr-FR"/>
              </w:rPr>
            </w:pPr>
            <w:r w:rsidRPr="007B3C3D">
              <w:rPr>
                <w:lang w:val="fr-FR"/>
              </w:rPr>
              <w:t>d</w:t>
            </w:r>
            <w:r>
              <w:rPr>
                <w:lang w:val="fr-FR"/>
              </w:rPr>
              <w:t>.</w:t>
            </w:r>
          </w:p>
        </w:tc>
        <w:tc>
          <w:tcPr>
            <w:tcW w:w="6888" w:type="dxa"/>
            <w:shd w:val="clear" w:color="auto" w:fill="auto"/>
          </w:tcPr>
          <w:p w14:paraId="3D82674D" w14:textId="29AC8D38" w:rsidR="00247A53" w:rsidRPr="007B3C3D" w:rsidRDefault="00BD479B" w:rsidP="00322D5E">
            <w:pPr>
              <w:tabs>
                <w:tab w:val="left" w:pos="288"/>
                <w:tab w:val="left" w:pos="576"/>
                <w:tab w:val="left" w:pos="864"/>
                <w:tab w:val="left" w:pos="1152"/>
              </w:tabs>
              <w:suppressAutoHyphens/>
              <w:spacing w:before="40" w:after="80"/>
              <w:ind w:left="144" w:right="43"/>
              <w:rPr>
                <w:lang w:val="fr-FR"/>
              </w:rPr>
            </w:pPr>
            <w:r w:rsidRPr="00BD479B">
              <w:rPr>
                <w:lang w:val="fr-FR"/>
              </w:rPr>
              <w:t>Réduction du gaspillage et de la production de déchets</w:t>
            </w:r>
          </w:p>
        </w:tc>
      </w:tr>
      <w:tr w:rsidR="00BD479B" w:rsidRPr="007B3C3D" w14:paraId="1275C17A" w14:textId="77777777" w:rsidTr="00322D5E">
        <w:tc>
          <w:tcPr>
            <w:tcW w:w="540" w:type="dxa"/>
            <w:shd w:val="clear" w:color="auto" w:fill="auto"/>
          </w:tcPr>
          <w:p w14:paraId="70470F28" w14:textId="7CE7CD09" w:rsidR="00BD479B" w:rsidRPr="007B3C3D" w:rsidRDefault="00BD479B" w:rsidP="00322D5E">
            <w:pPr>
              <w:tabs>
                <w:tab w:val="left" w:pos="288"/>
                <w:tab w:val="left" w:pos="576"/>
                <w:tab w:val="left" w:pos="864"/>
                <w:tab w:val="left" w:pos="1152"/>
              </w:tabs>
              <w:suppressAutoHyphens/>
              <w:spacing w:before="40" w:after="80"/>
              <w:ind w:right="40"/>
              <w:rPr>
                <w:lang w:val="fr-FR"/>
              </w:rPr>
            </w:pPr>
            <w:r>
              <w:rPr>
                <w:lang w:val="fr-FR"/>
              </w:rPr>
              <w:t>e.</w:t>
            </w:r>
          </w:p>
        </w:tc>
        <w:tc>
          <w:tcPr>
            <w:tcW w:w="6888" w:type="dxa"/>
            <w:shd w:val="clear" w:color="auto" w:fill="auto"/>
          </w:tcPr>
          <w:p w14:paraId="711D7747" w14:textId="72DA0F88" w:rsidR="00BD479B" w:rsidRPr="00BD479B" w:rsidRDefault="00BD479B" w:rsidP="00322D5E">
            <w:pPr>
              <w:tabs>
                <w:tab w:val="left" w:pos="288"/>
                <w:tab w:val="left" w:pos="576"/>
                <w:tab w:val="left" w:pos="864"/>
                <w:tab w:val="left" w:pos="1152"/>
              </w:tabs>
              <w:suppressAutoHyphens/>
              <w:spacing w:before="40" w:after="80"/>
              <w:ind w:left="144" w:right="43"/>
              <w:rPr>
                <w:lang w:val="fr-FR"/>
              </w:rPr>
            </w:pPr>
            <w:r w:rsidRPr="00BD479B">
              <w:rPr>
                <w:lang w:val="fr-FR"/>
              </w:rPr>
              <w:t>Augmentation du recyclage et de la réutilisation de matériaux</w:t>
            </w:r>
          </w:p>
        </w:tc>
      </w:tr>
    </w:tbl>
    <w:p w14:paraId="1801919F" w14:textId="0F3C3644" w:rsidR="00BD479B" w:rsidRPr="00BD479B" w:rsidRDefault="00BD479B" w:rsidP="00BD479B">
      <w:pPr>
        <w:pStyle w:val="SingleTxt"/>
        <w:spacing w:after="0" w:line="120" w:lineRule="exact"/>
        <w:rPr>
          <w:b/>
          <w:bCs/>
          <w:sz w:val="10"/>
          <w:lang w:val="fr-FR"/>
        </w:rPr>
      </w:pPr>
    </w:p>
    <w:p w14:paraId="13FA7658" w14:textId="0A9AC4D2" w:rsidR="00BD479B" w:rsidRPr="00BD479B" w:rsidRDefault="00BD479B" w:rsidP="00BD479B">
      <w:pPr>
        <w:pStyle w:val="SingleTxt"/>
        <w:spacing w:after="0" w:line="120" w:lineRule="exact"/>
        <w:rPr>
          <w:b/>
          <w:bCs/>
          <w:sz w:val="10"/>
          <w:lang w:val="fr-FR"/>
        </w:rPr>
      </w:pPr>
    </w:p>
    <w:p w14:paraId="6E763E21" w14:textId="4E0CB61D" w:rsidR="00A63696" w:rsidRDefault="00A63696" w:rsidP="00A63696">
      <w:pPr>
        <w:pStyle w:val="SingleTxt"/>
        <w:rPr>
          <w:b/>
          <w:bCs/>
          <w:lang w:val="fr-FR"/>
        </w:rPr>
      </w:pPr>
      <w:r w:rsidRPr="00A63696">
        <w:rPr>
          <w:b/>
          <w:bCs/>
          <w:lang w:val="fr-FR"/>
        </w:rPr>
        <w:t>Principe 3</w:t>
      </w:r>
      <w:r>
        <w:rPr>
          <w:b/>
          <w:bCs/>
          <w:lang w:val="fr-FR"/>
        </w:rPr>
        <w:t> :</w:t>
      </w:r>
      <w:r w:rsidRPr="00A63696">
        <w:rPr>
          <w:b/>
          <w:bCs/>
          <w:lang w:val="fr-FR"/>
        </w:rPr>
        <w:t xml:space="preserve"> amélioration constante de la performance environnementale</w:t>
      </w:r>
    </w:p>
    <w:p w14:paraId="58B35A1D" w14:textId="7394F3BB" w:rsidR="00BD479B" w:rsidRPr="00BD479B" w:rsidRDefault="00BD479B" w:rsidP="00BD479B">
      <w:pPr>
        <w:pStyle w:val="SingleTxt"/>
        <w:spacing w:after="0" w:line="120" w:lineRule="exact"/>
        <w:rPr>
          <w:sz w:val="10"/>
          <w:lang w:val="fr-FR"/>
        </w:rPr>
      </w:pPr>
    </w:p>
    <w:p w14:paraId="34574E09" w14:textId="145987EA" w:rsidR="00BD479B" w:rsidRPr="00BD479B" w:rsidRDefault="00BD479B" w:rsidP="00BD479B">
      <w:pPr>
        <w:pStyle w:val="SingleTxt"/>
        <w:spacing w:after="0" w:line="120" w:lineRule="exact"/>
        <w:rPr>
          <w:sz w:val="10"/>
          <w:lang w:val="fr-FR"/>
        </w:rPr>
      </w:pPr>
    </w:p>
    <w:tbl>
      <w:tblPr>
        <w:tblW w:w="0" w:type="auto"/>
        <w:tblInd w:w="1260" w:type="dxa"/>
        <w:tblLayout w:type="fixed"/>
        <w:tblCellMar>
          <w:left w:w="0" w:type="dxa"/>
          <w:right w:w="0" w:type="dxa"/>
        </w:tblCellMar>
        <w:tblLook w:val="0000" w:firstRow="0" w:lastRow="0" w:firstColumn="0" w:lastColumn="0" w:noHBand="0" w:noVBand="0"/>
      </w:tblPr>
      <w:tblGrid>
        <w:gridCol w:w="540"/>
        <w:gridCol w:w="6888"/>
      </w:tblGrid>
      <w:tr w:rsidR="00BD479B" w:rsidRPr="007B3C3D" w14:paraId="7999DE31" w14:textId="77777777" w:rsidTr="00322D5E">
        <w:tc>
          <w:tcPr>
            <w:tcW w:w="540" w:type="dxa"/>
            <w:shd w:val="clear" w:color="auto" w:fill="auto"/>
          </w:tcPr>
          <w:p w14:paraId="6F582822" w14:textId="199286CB" w:rsidR="00BD479B" w:rsidRPr="007B3C3D" w:rsidRDefault="00BD479B" w:rsidP="00322D5E">
            <w:pPr>
              <w:tabs>
                <w:tab w:val="left" w:pos="288"/>
                <w:tab w:val="left" w:pos="576"/>
                <w:tab w:val="left" w:pos="864"/>
                <w:tab w:val="left" w:pos="1152"/>
              </w:tabs>
              <w:suppressAutoHyphens/>
              <w:spacing w:before="40" w:after="80"/>
              <w:ind w:right="40"/>
              <w:rPr>
                <w:lang w:val="fr-FR"/>
              </w:rPr>
            </w:pPr>
            <w:r>
              <w:rPr>
                <w:lang w:val="fr-FR"/>
              </w:rPr>
              <w:t>3</w:t>
            </w:r>
            <w:r w:rsidRPr="007B3C3D">
              <w:rPr>
                <w:lang w:val="fr-FR"/>
              </w:rPr>
              <w:t>.1</w:t>
            </w:r>
          </w:p>
        </w:tc>
        <w:tc>
          <w:tcPr>
            <w:tcW w:w="6888" w:type="dxa"/>
            <w:shd w:val="clear" w:color="auto" w:fill="auto"/>
          </w:tcPr>
          <w:p w14:paraId="24089DC9" w14:textId="17F7F6C2" w:rsidR="00BD479B" w:rsidRPr="007B3C3D" w:rsidRDefault="00BD479B" w:rsidP="00322D5E">
            <w:pPr>
              <w:tabs>
                <w:tab w:val="left" w:pos="288"/>
                <w:tab w:val="left" w:pos="576"/>
                <w:tab w:val="left" w:pos="864"/>
                <w:tab w:val="left" w:pos="1152"/>
              </w:tabs>
              <w:suppressAutoHyphens/>
              <w:spacing w:before="40" w:after="80"/>
              <w:ind w:left="144" w:right="43"/>
              <w:rPr>
                <w:lang w:val="fr-FR"/>
              </w:rPr>
            </w:pPr>
            <w:r w:rsidRPr="00BD479B">
              <w:rPr>
                <w:lang w:val="fr-FR"/>
              </w:rPr>
              <w:t>Intégrer la gestion de la viabilité environnementale dans la réalisation des activités</w:t>
            </w:r>
          </w:p>
        </w:tc>
      </w:tr>
      <w:tr w:rsidR="00BD479B" w:rsidRPr="007B3C3D" w14:paraId="3E17C41F" w14:textId="77777777" w:rsidTr="00322D5E">
        <w:tc>
          <w:tcPr>
            <w:tcW w:w="540" w:type="dxa"/>
            <w:shd w:val="clear" w:color="auto" w:fill="auto"/>
          </w:tcPr>
          <w:p w14:paraId="1EEDE428" w14:textId="1FD0A1A7" w:rsidR="00BD479B" w:rsidRPr="007B3C3D" w:rsidRDefault="00BD479B" w:rsidP="00322D5E">
            <w:pPr>
              <w:tabs>
                <w:tab w:val="left" w:pos="288"/>
                <w:tab w:val="left" w:pos="576"/>
                <w:tab w:val="left" w:pos="864"/>
                <w:tab w:val="left" w:pos="1152"/>
              </w:tabs>
              <w:suppressAutoHyphens/>
              <w:spacing w:before="40" w:after="80"/>
              <w:ind w:right="40"/>
              <w:rPr>
                <w:lang w:val="fr-FR"/>
              </w:rPr>
            </w:pPr>
            <w:r>
              <w:rPr>
                <w:lang w:val="fr-FR"/>
              </w:rPr>
              <w:t>3</w:t>
            </w:r>
            <w:r w:rsidRPr="007B3C3D">
              <w:rPr>
                <w:lang w:val="fr-FR"/>
              </w:rPr>
              <w:t>.2</w:t>
            </w:r>
          </w:p>
        </w:tc>
        <w:tc>
          <w:tcPr>
            <w:tcW w:w="6888" w:type="dxa"/>
            <w:shd w:val="clear" w:color="auto" w:fill="auto"/>
          </w:tcPr>
          <w:p w14:paraId="27568ACE" w14:textId="6DDF0813" w:rsidR="00BD479B" w:rsidRPr="007B3C3D" w:rsidRDefault="00BD479B" w:rsidP="00322D5E">
            <w:pPr>
              <w:tabs>
                <w:tab w:val="left" w:pos="288"/>
                <w:tab w:val="left" w:pos="576"/>
                <w:tab w:val="left" w:pos="864"/>
                <w:tab w:val="left" w:pos="1152"/>
              </w:tabs>
              <w:suppressAutoHyphens/>
              <w:spacing w:before="40" w:after="80"/>
              <w:ind w:left="144" w:right="43"/>
              <w:rPr>
                <w:lang w:val="fr-FR"/>
              </w:rPr>
            </w:pPr>
            <w:r w:rsidRPr="00BD479B">
              <w:rPr>
                <w:lang w:val="fr-FR"/>
              </w:rPr>
              <w:t>Élargir constamment la portée des systèmes de gestion de l’environnement</w:t>
            </w:r>
          </w:p>
        </w:tc>
      </w:tr>
      <w:tr w:rsidR="00BD479B" w:rsidRPr="007B3C3D" w14:paraId="27585BF3" w14:textId="77777777" w:rsidTr="00322D5E">
        <w:tc>
          <w:tcPr>
            <w:tcW w:w="540" w:type="dxa"/>
            <w:shd w:val="clear" w:color="auto" w:fill="auto"/>
          </w:tcPr>
          <w:p w14:paraId="30CBB773" w14:textId="322B16D2" w:rsidR="00BD479B" w:rsidRPr="007B3C3D" w:rsidRDefault="00BD479B" w:rsidP="00322D5E">
            <w:pPr>
              <w:tabs>
                <w:tab w:val="left" w:pos="288"/>
                <w:tab w:val="left" w:pos="576"/>
                <w:tab w:val="left" w:pos="864"/>
                <w:tab w:val="left" w:pos="1152"/>
              </w:tabs>
              <w:suppressAutoHyphens/>
              <w:spacing w:before="40" w:after="80"/>
              <w:ind w:right="40"/>
              <w:rPr>
                <w:lang w:val="fr-FR"/>
              </w:rPr>
            </w:pPr>
            <w:r>
              <w:rPr>
                <w:lang w:val="fr-FR"/>
              </w:rPr>
              <w:t>3</w:t>
            </w:r>
            <w:r w:rsidRPr="007B3C3D">
              <w:rPr>
                <w:lang w:val="fr-FR"/>
              </w:rPr>
              <w:t>.3</w:t>
            </w:r>
          </w:p>
        </w:tc>
        <w:tc>
          <w:tcPr>
            <w:tcW w:w="6888" w:type="dxa"/>
            <w:shd w:val="clear" w:color="auto" w:fill="auto"/>
          </w:tcPr>
          <w:p w14:paraId="1249769F" w14:textId="7541C39D" w:rsidR="00BD479B" w:rsidRPr="007B3C3D" w:rsidRDefault="00BD479B" w:rsidP="00322D5E">
            <w:pPr>
              <w:tabs>
                <w:tab w:val="left" w:pos="288"/>
                <w:tab w:val="left" w:pos="576"/>
                <w:tab w:val="left" w:pos="864"/>
                <w:tab w:val="left" w:pos="1152"/>
              </w:tabs>
              <w:suppressAutoHyphens/>
              <w:spacing w:before="40" w:after="80"/>
              <w:ind w:left="144" w:right="43"/>
              <w:rPr>
                <w:lang w:val="fr-FR"/>
              </w:rPr>
            </w:pPr>
            <w:r w:rsidRPr="00BD479B">
              <w:rPr>
                <w:lang w:val="fr-FR"/>
              </w:rPr>
              <w:t>Encourager l’innovation et adopter les meilleures pratiques</w:t>
            </w:r>
          </w:p>
        </w:tc>
      </w:tr>
      <w:tr w:rsidR="00BD479B" w:rsidRPr="007B3C3D" w14:paraId="4C61C853" w14:textId="77777777" w:rsidTr="00322D5E">
        <w:tc>
          <w:tcPr>
            <w:tcW w:w="7428" w:type="dxa"/>
            <w:gridSpan w:val="2"/>
            <w:shd w:val="clear" w:color="auto" w:fill="auto"/>
          </w:tcPr>
          <w:p w14:paraId="03CC36DF" w14:textId="77777777" w:rsidR="00BD479B" w:rsidRPr="007B3C3D" w:rsidRDefault="00BD479B" w:rsidP="00322D5E">
            <w:pPr>
              <w:tabs>
                <w:tab w:val="left" w:pos="288"/>
                <w:tab w:val="left" w:pos="576"/>
                <w:tab w:val="left" w:pos="864"/>
                <w:tab w:val="left" w:pos="1152"/>
              </w:tabs>
              <w:suppressAutoHyphens/>
              <w:spacing w:before="40" w:after="80"/>
              <w:ind w:left="144" w:right="43" w:hanging="144"/>
              <w:rPr>
                <w:i/>
                <w:iCs/>
                <w:lang w:val="fr-FR"/>
              </w:rPr>
            </w:pPr>
            <w:r w:rsidRPr="007B3C3D">
              <w:rPr>
                <w:i/>
                <w:iCs/>
                <w:lang w:val="fr-FR"/>
              </w:rPr>
              <w:t>Objectifs connexes</w:t>
            </w:r>
          </w:p>
        </w:tc>
      </w:tr>
      <w:tr w:rsidR="00BD479B" w:rsidRPr="007B3C3D" w14:paraId="6F781213" w14:textId="77777777" w:rsidTr="00322D5E">
        <w:tc>
          <w:tcPr>
            <w:tcW w:w="540" w:type="dxa"/>
            <w:shd w:val="clear" w:color="auto" w:fill="auto"/>
          </w:tcPr>
          <w:p w14:paraId="5E4F04A6" w14:textId="77777777" w:rsidR="00BD479B" w:rsidRPr="007B3C3D" w:rsidRDefault="00BD479B" w:rsidP="00322D5E">
            <w:pPr>
              <w:tabs>
                <w:tab w:val="left" w:pos="288"/>
                <w:tab w:val="left" w:pos="576"/>
                <w:tab w:val="left" w:pos="864"/>
                <w:tab w:val="left" w:pos="1152"/>
              </w:tabs>
              <w:suppressAutoHyphens/>
              <w:spacing w:before="40" w:after="80"/>
              <w:ind w:right="40"/>
              <w:rPr>
                <w:lang w:val="fr-FR"/>
              </w:rPr>
            </w:pPr>
            <w:r w:rsidRPr="007B3C3D">
              <w:rPr>
                <w:lang w:val="fr-FR"/>
              </w:rPr>
              <w:t>a</w:t>
            </w:r>
            <w:r>
              <w:rPr>
                <w:lang w:val="fr-FR"/>
              </w:rPr>
              <w:t>.</w:t>
            </w:r>
          </w:p>
        </w:tc>
        <w:tc>
          <w:tcPr>
            <w:tcW w:w="6888" w:type="dxa"/>
            <w:shd w:val="clear" w:color="auto" w:fill="auto"/>
          </w:tcPr>
          <w:p w14:paraId="18722EBF" w14:textId="1145A942" w:rsidR="00BD479B" w:rsidRPr="007B3C3D" w:rsidRDefault="00BD479B" w:rsidP="00322D5E">
            <w:pPr>
              <w:tabs>
                <w:tab w:val="left" w:pos="288"/>
                <w:tab w:val="left" w:pos="576"/>
                <w:tab w:val="left" w:pos="864"/>
                <w:tab w:val="left" w:pos="1152"/>
              </w:tabs>
              <w:suppressAutoHyphens/>
              <w:spacing w:before="40" w:after="80"/>
              <w:ind w:left="144" w:right="43"/>
              <w:rPr>
                <w:lang w:val="fr-FR"/>
              </w:rPr>
            </w:pPr>
            <w:r w:rsidRPr="00BD479B">
              <w:rPr>
                <w:lang w:val="fr-FR"/>
              </w:rPr>
              <w:t>Systèmes de gestion intégrée de l’environnement</w:t>
            </w:r>
          </w:p>
        </w:tc>
      </w:tr>
      <w:tr w:rsidR="00BD479B" w:rsidRPr="007B3C3D" w14:paraId="0A4678CE" w14:textId="77777777" w:rsidTr="00322D5E">
        <w:tc>
          <w:tcPr>
            <w:tcW w:w="540" w:type="dxa"/>
            <w:shd w:val="clear" w:color="auto" w:fill="auto"/>
          </w:tcPr>
          <w:p w14:paraId="6C5A680C" w14:textId="77777777" w:rsidR="00BD479B" w:rsidRPr="007B3C3D" w:rsidRDefault="00BD479B" w:rsidP="00322D5E">
            <w:pPr>
              <w:tabs>
                <w:tab w:val="left" w:pos="288"/>
                <w:tab w:val="left" w:pos="576"/>
                <w:tab w:val="left" w:pos="864"/>
                <w:tab w:val="left" w:pos="1152"/>
              </w:tabs>
              <w:suppressAutoHyphens/>
              <w:spacing w:before="40" w:after="80"/>
              <w:ind w:right="40"/>
              <w:rPr>
                <w:lang w:val="fr-FR"/>
              </w:rPr>
            </w:pPr>
            <w:r w:rsidRPr="007B3C3D">
              <w:rPr>
                <w:lang w:val="fr-FR"/>
              </w:rPr>
              <w:t>b</w:t>
            </w:r>
            <w:r>
              <w:rPr>
                <w:lang w:val="fr-FR"/>
              </w:rPr>
              <w:t>.</w:t>
            </w:r>
          </w:p>
        </w:tc>
        <w:tc>
          <w:tcPr>
            <w:tcW w:w="6888" w:type="dxa"/>
            <w:shd w:val="clear" w:color="auto" w:fill="auto"/>
          </w:tcPr>
          <w:p w14:paraId="63568C05" w14:textId="719D1048" w:rsidR="00BD479B" w:rsidRPr="007B3C3D" w:rsidRDefault="00BD479B" w:rsidP="00322D5E">
            <w:pPr>
              <w:tabs>
                <w:tab w:val="left" w:pos="288"/>
                <w:tab w:val="left" w:pos="576"/>
                <w:tab w:val="left" w:pos="864"/>
                <w:tab w:val="left" w:pos="1152"/>
              </w:tabs>
              <w:suppressAutoHyphens/>
              <w:spacing w:before="40" w:after="80"/>
              <w:ind w:left="144" w:right="43"/>
              <w:rPr>
                <w:lang w:val="fr-FR"/>
              </w:rPr>
            </w:pPr>
            <w:r w:rsidRPr="00BD479B">
              <w:rPr>
                <w:lang w:val="fr-FR"/>
              </w:rPr>
              <w:t>Évaluation, suivi et audit continus des résultats</w:t>
            </w:r>
          </w:p>
        </w:tc>
      </w:tr>
      <w:tr w:rsidR="00BD479B" w:rsidRPr="007B3C3D" w14:paraId="7975F065" w14:textId="77777777" w:rsidTr="00322D5E">
        <w:tc>
          <w:tcPr>
            <w:tcW w:w="540" w:type="dxa"/>
            <w:shd w:val="clear" w:color="auto" w:fill="auto"/>
          </w:tcPr>
          <w:p w14:paraId="4C953A45" w14:textId="77777777" w:rsidR="00BD479B" w:rsidRPr="007B3C3D" w:rsidRDefault="00BD479B" w:rsidP="00322D5E">
            <w:pPr>
              <w:tabs>
                <w:tab w:val="left" w:pos="288"/>
                <w:tab w:val="left" w:pos="576"/>
                <w:tab w:val="left" w:pos="864"/>
                <w:tab w:val="left" w:pos="1152"/>
              </w:tabs>
              <w:suppressAutoHyphens/>
              <w:spacing w:before="40" w:after="80"/>
              <w:ind w:right="40"/>
              <w:rPr>
                <w:lang w:val="fr-FR"/>
              </w:rPr>
            </w:pPr>
            <w:r w:rsidRPr="007B3C3D">
              <w:rPr>
                <w:lang w:val="fr-FR"/>
              </w:rPr>
              <w:t>c</w:t>
            </w:r>
            <w:r>
              <w:rPr>
                <w:lang w:val="fr-FR"/>
              </w:rPr>
              <w:t>.</w:t>
            </w:r>
          </w:p>
        </w:tc>
        <w:tc>
          <w:tcPr>
            <w:tcW w:w="6888" w:type="dxa"/>
            <w:shd w:val="clear" w:color="auto" w:fill="auto"/>
          </w:tcPr>
          <w:p w14:paraId="13E95531" w14:textId="72EE7D66" w:rsidR="00BD479B" w:rsidRPr="007B3C3D" w:rsidRDefault="00BD479B" w:rsidP="00322D5E">
            <w:pPr>
              <w:tabs>
                <w:tab w:val="left" w:pos="288"/>
                <w:tab w:val="left" w:pos="576"/>
                <w:tab w:val="left" w:pos="864"/>
                <w:tab w:val="left" w:pos="1152"/>
              </w:tabs>
              <w:suppressAutoHyphens/>
              <w:spacing w:before="40" w:after="80"/>
              <w:ind w:left="144" w:right="43"/>
              <w:rPr>
                <w:lang w:val="fr-FR"/>
              </w:rPr>
            </w:pPr>
            <w:r w:rsidRPr="00BD479B">
              <w:rPr>
                <w:lang w:val="fr-FR"/>
              </w:rPr>
              <w:t>Examen et révision systématiques des objectifs et cibles écologiques</w:t>
            </w:r>
          </w:p>
        </w:tc>
      </w:tr>
      <w:tr w:rsidR="00BD479B" w:rsidRPr="007B3C3D" w14:paraId="1DFF6C03" w14:textId="77777777" w:rsidTr="00322D5E">
        <w:tc>
          <w:tcPr>
            <w:tcW w:w="540" w:type="dxa"/>
            <w:shd w:val="clear" w:color="auto" w:fill="auto"/>
          </w:tcPr>
          <w:p w14:paraId="3C944A5A" w14:textId="77777777" w:rsidR="00BD479B" w:rsidRPr="007B3C3D" w:rsidRDefault="00BD479B" w:rsidP="00322D5E">
            <w:pPr>
              <w:tabs>
                <w:tab w:val="left" w:pos="288"/>
                <w:tab w:val="left" w:pos="576"/>
                <w:tab w:val="left" w:pos="864"/>
                <w:tab w:val="left" w:pos="1152"/>
              </w:tabs>
              <w:suppressAutoHyphens/>
              <w:spacing w:before="40" w:after="80"/>
              <w:ind w:right="40"/>
              <w:rPr>
                <w:lang w:val="fr-FR"/>
              </w:rPr>
            </w:pPr>
            <w:r w:rsidRPr="007B3C3D">
              <w:rPr>
                <w:lang w:val="fr-FR"/>
              </w:rPr>
              <w:t>d</w:t>
            </w:r>
            <w:r>
              <w:rPr>
                <w:lang w:val="fr-FR"/>
              </w:rPr>
              <w:t>.</w:t>
            </w:r>
          </w:p>
        </w:tc>
        <w:tc>
          <w:tcPr>
            <w:tcW w:w="6888" w:type="dxa"/>
            <w:shd w:val="clear" w:color="auto" w:fill="auto"/>
          </w:tcPr>
          <w:p w14:paraId="1FF53BAF" w14:textId="0E1EB9FE" w:rsidR="00BD479B" w:rsidRPr="007B3C3D" w:rsidRDefault="00BD479B" w:rsidP="00322D5E">
            <w:pPr>
              <w:tabs>
                <w:tab w:val="left" w:pos="288"/>
                <w:tab w:val="left" w:pos="576"/>
                <w:tab w:val="left" w:pos="864"/>
                <w:tab w:val="left" w:pos="1152"/>
              </w:tabs>
              <w:suppressAutoHyphens/>
              <w:spacing w:before="40" w:after="80"/>
              <w:ind w:left="144" w:right="43"/>
              <w:rPr>
                <w:lang w:val="fr-FR"/>
              </w:rPr>
            </w:pPr>
            <w:r w:rsidRPr="00BD479B">
              <w:rPr>
                <w:lang w:val="fr-FR"/>
              </w:rPr>
              <w:t>Mise en place d’un cadre pour l’adoption des meilleures pratiques nouvelles</w:t>
            </w:r>
          </w:p>
        </w:tc>
      </w:tr>
    </w:tbl>
    <w:p w14:paraId="49BFCAEA" w14:textId="387B163A" w:rsidR="00BD479B" w:rsidRPr="00BD479B" w:rsidRDefault="00BD479B" w:rsidP="00BD479B">
      <w:pPr>
        <w:pStyle w:val="SingleTxt"/>
        <w:spacing w:after="0" w:line="120" w:lineRule="exact"/>
        <w:rPr>
          <w:sz w:val="10"/>
          <w:lang w:val="fr-FR"/>
        </w:rPr>
      </w:pPr>
    </w:p>
    <w:p w14:paraId="65109353" w14:textId="47F0B257" w:rsidR="00BD479B" w:rsidRPr="00BD479B" w:rsidRDefault="00BD479B" w:rsidP="00BD479B">
      <w:pPr>
        <w:pStyle w:val="SingleTxt"/>
        <w:spacing w:after="0" w:line="120" w:lineRule="exact"/>
        <w:rPr>
          <w:sz w:val="10"/>
          <w:lang w:val="fr-FR"/>
        </w:rPr>
      </w:pPr>
    </w:p>
    <w:p w14:paraId="576B34A6" w14:textId="191D0495" w:rsidR="00A63696" w:rsidRDefault="00BD479B" w:rsidP="00BD479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A63696" w:rsidRPr="00A63696">
        <w:rPr>
          <w:lang w:val="fr-FR"/>
        </w:rPr>
        <w:t>Principe 4</w:t>
      </w:r>
      <w:r w:rsidR="00A63696">
        <w:rPr>
          <w:lang w:val="fr-FR"/>
        </w:rPr>
        <w:t> :</w:t>
      </w:r>
      <w:r w:rsidR="00A63696" w:rsidRPr="00A63696">
        <w:rPr>
          <w:lang w:val="fr-FR"/>
        </w:rPr>
        <w:t xml:space="preserve"> participation des parties prenantes à tous les niveaux</w:t>
      </w:r>
    </w:p>
    <w:p w14:paraId="0945765D" w14:textId="48DA8408" w:rsidR="00BD479B" w:rsidRPr="00BD479B" w:rsidRDefault="00BD479B" w:rsidP="00BD479B">
      <w:pPr>
        <w:pStyle w:val="SingleTxt"/>
        <w:spacing w:after="0" w:line="120" w:lineRule="exact"/>
        <w:rPr>
          <w:sz w:val="10"/>
          <w:lang w:val="fr-FR"/>
        </w:rPr>
      </w:pPr>
    </w:p>
    <w:tbl>
      <w:tblPr>
        <w:tblW w:w="0" w:type="auto"/>
        <w:tblInd w:w="1260" w:type="dxa"/>
        <w:tblLayout w:type="fixed"/>
        <w:tblCellMar>
          <w:left w:w="0" w:type="dxa"/>
          <w:right w:w="0" w:type="dxa"/>
        </w:tblCellMar>
        <w:tblLook w:val="0000" w:firstRow="0" w:lastRow="0" w:firstColumn="0" w:lastColumn="0" w:noHBand="0" w:noVBand="0"/>
      </w:tblPr>
      <w:tblGrid>
        <w:gridCol w:w="540"/>
        <w:gridCol w:w="6888"/>
      </w:tblGrid>
      <w:tr w:rsidR="00BD479B" w:rsidRPr="007B3C3D" w14:paraId="38CB6891" w14:textId="77777777" w:rsidTr="00322D5E">
        <w:tc>
          <w:tcPr>
            <w:tcW w:w="540" w:type="dxa"/>
            <w:shd w:val="clear" w:color="auto" w:fill="auto"/>
          </w:tcPr>
          <w:p w14:paraId="7420D92E" w14:textId="6E247C1D" w:rsidR="00BD479B" w:rsidRPr="007B3C3D" w:rsidRDefault="00BD479B" w:rsidP="00322D5E">
            <w:pPr>
              <w:tabs>
                <w:tab w:val="left" w:pos="288"/>
                <w:tab w:val="left" w:pos="576"/>
                <w:tab w:val="left" w:pos="864"/>
                <w:tab w:val="left" w:pos="1152"/>
              </w:tabs>
              <w:suppressAutoHyphens/>
              <w:spacing w:before="40" w:after="80"/>
              <w:ind w:right="40"/>
              <w:rPr>
                <w:lang w:val="fr-FR"/>
              </w:rPr>
            </w:pPr>
            <w:r>
              <w:rPr>
                <w:lang w:val="fr-FR"/>
              </w:rPr>
              <w:t>4</w:t>
            </w:r>
            <w:r w:rsidRPr="007B3C3D">
              <w:rPr>
                <w:lang w:val="fr-FR"/>
              </w:rPr>
              <w:t>.1</w:t>
            </w:r>
          </w:p>
        </w:tc>
        <w:tc>
          <w:tcPr>
            <w:tcW w:w="6888" w:type="dxa"/>
            <w:shd w:val="clear" w:color="auto" w:fill="auto"/>
          </w:tcPr>
          <w:p w14:paraId="2B38B02D" w14:textId="3F520236" w:rsidR="00BD479B" w:rsidRPr="007B3C3D" w:rsidRDefault="00BD479B" w:rsidP="00322D5E">
            <w:pPr>
              <w:tabs>
                <w:tab w:val="left" w:pos="288"/>
                <w:tab w:val="left" w:pos="576"/>
                <w:tab w:val="left" w:pos="864"/>
                <w:tab w:val="left" w:pos="1152"/>
              </w:tabs>
              <w:suppressAutoHyphens/>
              <w:spacing w:before="40" w:after="80"/>
              <w:ind w:left="144" w:right="43"/>
              <w:rPr>
                <w:lang w:val="fr-FR"/>
              </w:rPr>
            </w:pPr>
            <w:r w:rsidRPr="00BD479B">
              <w:rPr>
                <w:lang w:val="fr-FR"/>
              </w:rPr>
              <w:t>Communiquer la politique environnementale aux parties prenantes internes et externes</w:t>
            </w:r>
          </w:p>
        </w:tc>
      </w:tr>
      <w:tr w:rsidR="00BD479B" w:rsidRPr="007B3C3D" w14:paraId="04502F0D" w14:textId="77777777" w:rsidTr="00322D5E">
        <w:tc>
          <w:tcPr>
            <w:tcW w:w="540" w:type="dxa"/>
            <w:shd w:val="clear" w:color="auto" w:fill="auto"/>
          </w:tcPr>
          <w:p w14:paraId="6E7761AF" w14:textId="6E228196" w:rsidR="00BD479B" w:rsidRPr="007B3C3D" w:rsidRDefault="00BD479B" w:rsidP="00322D5E">
            <w:pPr>
              <w:tabs>
                <w:tab w:val="left" w:pos="288"/>
                <w:tab w:val="left" w:pos="576"/>
                <w:tab w:val="left" w:pos="864"/>
                <w:tab w:val="left" w:pos="1152"/>
              </w:tabs>
              <w:suppressAutoHyphens/>
              <w:spacing w:before="40" w:after="80"/>
              <w:ind w:right="40"/>
              <w:rPr>
                <w:lang w:val="fr-FR"/>
              </w:rPr>
            </w:pPr>
            <w:r>
              <w:rPr>
                <w:lang w:val="fr-FR"/>
              </w:rPr>
              <w:t>4</w:t>
            </w:r>
            <w:r w:rsidRPr="007B3C3D">
              <w:rPr>
                <w:lang w:val="fr-FR"/>
              </w:rPr>
              <w:t>.2</w:t>
            </w:r>
          </w:p>
        </w:tc>
        <w:tc>
          <w:tcPr>
            <w:tcW w:w="6888" w:type="dxa"/>
            <w:shd w:val="clear" w:color="auto" w:fill="auto"/>
          </w:tcPr>
          <w:p w14:paraId="74EB5CB3" w14:textId="74B94A59" w:rsidR="00BD479B" w:rsidRPr="007B3C3D" w:rsidRDefault="00BD479B" w:rsidP="00322D5E">
            <w:pPr>
              <w:tabs>
                <w:tab w:val="left" w:pos="288"/>
                <w:tab w:val="left" w:pos="576"/>
                <w:tab w:val="left" w:pos="864"/>
                <w:tab w:val="left" w:pos="1152"/>
              </w:tabs>
              <w:suppressAutoHyphens/>
              <w:spacing w:before="40" w:after="80"/>
              <w:ind w:left="144" w:right="43"/>
              <w:rPr>
                <w:lang w:val="fr-FR"/>
              </w:rPr>
            </w:pPr>
            <w:r w:rsidRPr="00BD479B">
              <w:rPr>
                <w:lang w:val="fr-FR"/>
              </w:rPr>
              <w:t>Promouvoir la sensibilisation à l’environnement, la participation, le partage des connaissances et la formation</w:t>
            </w:r>
          </w:p>
        </w:tc>
      </w:tr>
      <w:tr w:rsidR="00BD479B" w:rsidRPr="007B3C3D" w14:paraId="24A84DD9" w14:textId="77777777" w:rsidTr="00322D5E">
        <w:tc>
          <w:tcPr>
            <w:tcW w:w="540" w:type="dxa"/>
            <w:shd w:val="clear" w:color="auto" w:fill="auto"/>
          </w:tcPr>
          <w:p w14:paraId="1329A81E" w14:textId="6833EAC2" w:rsidR="00BD479B" w:rsidRPr="007B3C3D" w:rsidRDefault="00BD479B" w:rsidP="00322D5E">
            <w:pPr>
              <w:tabs>
                <w:tab w:val="left" w:pos="288"/>
                <w:tab w:val="left" w:pos="576"/>
                <w:tab w:val="left" w:pos="864"/>
                <w:tab w:val="left" w:pos="1152"/>
              </w:tabs>
              <w:suppressAutoHyphens/>
              <w:spacing w:before="40" w:after="80"/>
              <w:ind w:right="40"/>
              <w:rPr>
                <w:lang w:val="fr-FR"/>
              </w:rPr>
            </w:pPr>
            <w:r>
              <w:rPr>
                <w:lang w:val="fr-FR"/>
              </w:rPr>
              <w:t>4</w:t>
            </w:r>
            <w:r w:rsidRPr="007B3C3D">
              <w:rPr>
                <w:lang w:val="fr-FR"/>
              </w:rPr>
              <w:t>.3</w:t>
            </w:r>
          </w:p>
        </w:tc>
        <w:tc>
          <w:tcPr>
            <w:tcW w:w="6888" w:type="dxa"/>
            <w:shd w:val="clear" w:color="auto" w:fill="auto"/>
          </w:tcPr>
          <w:p w14:paraId="402348B0" w14:textId="4F36E6FA" w:rsidR="00BD479B" w:rsidRPr="007B3C3D" w:rsidRDefault="00BD479B" w:rsidP="00322D5E">
            <w:pPr>
              <w:tabs>
                <w:tab w:val="left" w:pos="288"/>
                <w:tab w:val="left" w:pos="576"/>
                <w:tab w:val="left" w:pos="864"/>
                <w:tab w:val="left" w:pos="1152"/>
              </w:tabs>
              <w:suppressAutoHyphens/>
              <w:spacing w:before="40" w:after="80"/>
              <w:ind w:left="144" w:right="43"/>
              <w:rPr>
                <w:lang w:val="fr-FR"/>
              </w:rPr>
            </w:pPr>
            <w:r w:rsidRPr="00BD479B">
              <w:rPr>
                <w:lang w:val="fr-FR"/>
              </w:rPr>
              <w:t>Rendre compte, à l’intérieur et à l’extérieur du système, de la performance environnementale et des gains d’efficacité</w:t>
            </w:r>
          </w:p>
        </w:tc>
      </w:tr>
      <w:tr w:rsidR="00BD479B" w:rsidRPr="007B3C3D" w14:paraId="2F883634" w14:textId="77777777" w:rsidTr="00322D5E">
        <w:tc>
          <w:tcPr>
            <w:tcW w:w="7428" w:type="dxa"/>
            <w:gridSpan w:val="2"/>
            <w:shd w:val="clear" w:color="auto" w:fill="auto"/>
          </w:tcPr>
          <w:p w14:paraId="67BF435D" w14:textId="77777777" w:rsidR="00BD479B" w:rsidRPr="007B3C3D" w:rsidRDefault="00BD479B" w:rsidP="00322D5E">
            <w:pPr>
              <w:tabs>
                <w:tab w:val="left" w:pos="288"/>
                <w:tab w:val="left" w:pos="576"/>
                <w:tab w:val="left" w:pos="864"/>
                <w:tab w:val="left" w:pos="1152"/>
              </w:tabs>
              <w:suppressAutoHyphens/>
              <w:spacing w:before="40" w:after="80"/>
              <w:ind w:left="144" w:right="43" w:hanging="144"/>
              <w:rPr>
                <w:i/>
                <w:iCs/>
                <w:lang w:val="fr-FR"/>
              </w:rPr>
            </w:pPr>
            <w:r w:rsidRPr="007B3C3D">
              <w:rPr>
                <w:i/>
                <w:iCs/>
                <w:lang w:val="fr-FR"/>
              </w:rPr>
              <w:t>Objectifs connexes</w:t>
            </w:r>
          </w:p>
        </w:tc>
      </w:tr>
      <w:tr w:rsidR="00BD479B" w:rsidRPr="007B3C3D" w14:paraId="370D191F" w14:textId="77777777" w:rsidTr="00322D5E">
        <w:tc>
          <w:tcPr>
            <w:tcW w:w="540" w:type="dxa"/>
            <w:shd w:val="clear" w:color="auto" w:fill="auto"/>
          </w:tcPr>
          <w:p w14:paraId="1794468E" w14:textId="77777777" w:rsidR="00BD479B" w:rsidRPr="007B3C3D" w:rsidRDefault="00BD479B" w:rsidP="00322D5E">
            <w:pPr>
              <w:tabs>
                <w:tab w:val="left" w:pos="288"/>
                <w:tab w:val="left" w:pos="576"/>
                <w:tab w:val="left" w:pos="864"/>
                <w:tab w:val="left" w:pos="1152"/>
              </w:tabs>
              <w:suppressAutoHyphens/>
              <w:spacing w:before="40" w:after="80"/>
              <w:ind w:right="40"/>
              <w:rPr>
                <w:lang w:val="fr-FR"/>
              </w:rPr>
            </w:pPr>
            <w:r w:rsidRPr="007B3C3D">
              <w:rPr>
                <w:lang w:val="fr-FR"/>
              </w:rPr>
              <w:t>a</w:t>
            </w:r>
            <w:r>
              <w:rPr>
                <w:lang w:val="fr-FR"/>
              </w:rPr>
              <w:t>.</w:t>
            </w:r>
          </w:p>
        </w:tc>
        <w:tc>
          <w:tcPr>
            <w:tcW w:w="6888" w:type="dxa"/>
            <w:shd w:val="clear" w:color="auto" w:fill="auto"/>
          </w:tcPr>
          <w:p w14:paraId="2E636B03" w14:textId="218B391D" w:rsidR="00BD479B" w:rsidRPr="007B3C3D" w:rsidRDefault="00BD479B" w:rsidP="00322D5E">
            <w:pPr>
              <w:tabs>
                <w:tab w:val="left" w:pos="288"/>
                <w:tab w:val="left" w:pos="576"/>
                <w:tab w:val="left" w:pos="864"/>
                <w:tab w:val="left" w:pos="1152"/>
              </w:tabs>
              <w:suppressAutoHyphens/>
              <w:spacing w:before="40" w:after="80"/>
              <w:ind w:left="144" w:right="43"/>
              <w:rPr>
                <w:lang w:val="fr-FR"/>
              </w:rPr>
            </w:pPr>
            <w:r w:rsidRPr="00BD479B">
              <w:rPr>
                <w:lang w:val="fr-FR"/>
              </w:rPr>
              <w:t>Sensibilisation à l’environnement et participation accrues du personnel à tous les niveaux</w:t>
            </w:r>
          </w:p>
        </w:tc>
      </w:tr>
      <w:tr w:rsidR="00BD479B" w:rsidRPr="007B3C3D" w14:paraId="5518645A" w14:textId="77777777" w:rsidTr="00322D5E">
        <w:tc>
          <w:tcPr>
            <w:tcW w:w="540" w:type="dxa"/>
            <w:shd w:val="clear" w:color="auto" w:fill="auto"/>
          </w:tcPr>
          <w:p w14:paraId="0C899B99" w14:textId="77777777" w:rsidR="00BD479B" w:rsidRPr="007B3C3D" w:rsidRDefault="00BD479B" w:rsidP="00322D5E">
            <w:pPr>
              <w:tabs>
                <w:tab w:val="left" w:pos="288"/>
                <w:tab w:val="left" w:pos="576"/>
                <w:tab w:val="left" w:pos="864"/>
                <w:tab w:val="left" w:pos="1152"/>
              </w:tabs>
              <w:suppressAutoHyphens/>
              <w:spacing w:before="40" w:after="80"/>
              <w:ind w:right="40"/>
              <w:rPr>
                <w:lang w:val="fr-FR"/>
              </w:rPr>
            </w:pPr>
            <w:r w:rsidRPr="007B3C3D">
              <w:rPr>
                <w:lang w:val="fr-FR"/>
              </w:rPr>
              <w:t>b</w:t>
            </w:r>
            <w:r>
              <w:rPr>
                <w:lang w:val="fr-FR"/>
              </w:rPr>
              <w:t>.</w:t>
            </w:r>
          </w:p>
        </w:tc>
        <w:tc>
          <w:tcPr>
            <w:tcW w:w="6888" w:type="dxa"/>
            <w:shd w:val="clear" w:color="auto" w:fill="auto"/>
          </w:tcPr>
          <w:p w14:paraId="1622EE30" w14:textId="1711C646" w:rsidR="00BD479B" w:rsidRPr="007B3C3D" w:rsidRDefault="00BD479B" w:rsidP="00322D5E">
            <w:pPr>
              <w:tabs>
                <w:tab w:val="left" w:pos="288"/>
                <w:tab w:val="left" w:pos="576"/>
                <w:tab w:val="left" w:pos="864"/>
                <w:tab w:val="left" w:pos="1152"/>
              </w:tabs>
              <w:suppressAutoHyphens/>
              <w:spacing w:before="40" w:after="80"/>
              <w:ind w:left="144" w:right="43"/>
              <w:rPr>
                <w:lang w:val="fr-FR"/>
              </w:rPr>
            </w:pPr>
            <w:r w:rsidRPr="00BD479B">
              <w:rPr>
                <w:lang w:val="fr-FR"/>
              </w:rPr>
              <w:t>Établissement de rapports complets sur la performance environnementale et l’efficacité de l’utilisation des ressources</w:t>
            </w:r>
          </w:p>
        </w:tc>
      </w:tr>
      <w:tr w:rsidR="00BD479B" w:rsidRPr="007B3C3D" w14:paraId="0D1B4BB9" w14:textId="77777777" w:rsidTr="00322D5E">
        <w:tc>
          <w:tcPr>
            <w:tcW w:w="540" w:type="dxa"/>
            <w:shd w:val="clear" w:color="auto" w:fill="auto"/>
          </w:tcPr>
          <w:p w14:paraId="23CEC463" w14:textId="77777777" w:rsidR="00BD479B" w:rsidRPr="007B3C3D" w:rsidRDefault="00BD479B" w:rsidP="00322D5E">
            <w:pPr>
              <w:tabs>
                <w:tab w:val="left" w:pos="288"/>
                <w:tab w:val="left" w:pos="576"/>
                <w:tab w:val="left" w:pos="864"/>
                <w:tab w:val="left" w:pos="1152"/>
              </w:tabs>
              <w:suppressAutoHyphens/>
              <w:spacing w:before="40" w:after="80"/>
              <w:ind w:right="40"/>
              <w:rPr>
                <w:lang w:val="fr-FR"/>
              </w:rPr>
            </w:pPr>
            <w:r w:rsidRPr="007B3C3D">
              <w:rPr>
                <w:lang w:val="fr-FR"/>
              </w:rPr>
              <w:t>c</w:t>
            </w:r>
            <w:r>
              <w:rPr>
                <w:lang w:val="fr-FR"/>
              </w:rPr>
              <w:t>.</w:t>
            </w:r>
          </w:p>
        </w:tc>
        <w:tc>
          <w:tcPr>
            <w:tcW w:w="6888" w:type="dxa"/>
            <w:shd w:val="clear" w:color="auto" w:fill="auto"/>
          </w:tcPr>
          <w:p w14:paraId="4E50CED3" w14:textId="00E5327C" w:rsidR="00BD479B" w:rsidRPr="007B3C3D" w:rsidRDefault="00271EBB" w:rsidP="00322D5E">
            <w:pPr>
              <w:tabs>
                <w:tab w:val="left" w:pos="288"/>
                <w:tab w:val="left" w:pos="576"/>
                <w:tab w:val="left" w:pos="864"/>
                <w:tab w:val="left" w:pos="1152"/>
              </w:tabs>
              <w:suppressAutoHyphens/>
              <w:spacing w:before="40" w:after="80"/>
              <w:ind w:left="144" w:right="43"/>
              <w:rPr>
                <w:lang w:val="fr-FR"/>
              </w:rPr>
            </w:pPr>
            <w:r w:rsidRPr="00271EBB">
              <w:rPr>
                <w:lang w:val="fr-FR"/>
              </w:rPr>
              <w:t>Mise en place de réseaux actifs dans le domaine de la durabilité interconnectés avec les réseaux et initiatives du système des Nations Unies</w:t>
            </w:r>
          </w:p>
        </w:tc>
      </w:tr>
    </w:tbl>
    <w:p w14:paraId="0208143B" w14:textId="6091D445" w:rsidR="00BD479B" w:rsidRPr="00BD479B" w:rsidRDefault="00BD479B" w:rsidP="00BD479B">
      <w:pPr>
        <w:pStyle w:val="SingleTxt"/>
        <w:spacing w:after="0" w:line="120" w:lineRule="exact"/>
        <w:rPr>
          <w:sz w:val="10"/>
          <w:lang w:val="fr-FR"/>
        </w:rPr>
      </w:pPr>
    </w:p>
    <w:p w14:paraId="558934FB" w14:textId="0BC259D4" w:rsidR="00BD479B" w:rsidRPr="00BD479B" w:rsidRDefault="00BD479B" w:rsidP="00BD479B">
      <w:pPr>
        <w:pStyle w:val="SingleTxt"/>
        <w:spacing w:after="0" w:line="120" w:lineRule="exact"/>
        <w:rPr>
          <w:sz w:val="10"/>
          <w:lang w:val="fr-FR"/>
        </w:rPr>
      </w:pPr>
    </w:p>
    <w:p w14:paraId="23BB4DCD" w14:textId="320CAE68" w:rsidR="00A63696" w:rsidRDefault="00BD479B" w:rsidP="00E4661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A63696" w:rsidRPr="00A63696">
        <w:rPr>
          <w:lang w:val="fr-FR"/>
        </w:rPr>
        <w:t>Principe 5</w:t>
      </w:r>
      <w:r w:rsidR="00A63696">
        <w:rPr>
          <w:lang w:val="fr-FR"/>
        </w:rPr>
        <w:t> :</w:t>
      </w:r>
      <w:r w:rsidR="00A63696" w:rsidRPr="00A63696">
        <w:rPr>
          <w:lang w:val="fr-FR"/>
        </w:rPr>
        <w:t xml:space="preserve"> adaptation et résilience</w:t>
      </w:r>
    </w:p>
    <w:p w14:paraId="2B8B9390" w14:textId="24A8D59A" w:rsidR="00BD479B" w:rsidRPr="00BD479B" w:rsidRDefault="00BD479B" w:rsidP="00E46619">
      <w:pPr>
        <w:pStyle w:val="SingleTxt"/>
        <w:keepNext/>
        <w:spacing w:after="0" w:line="120" w:lineRule="exact"/>
        <w:rPr>
          <w:sz w:val="10"/>
          <w:lang w:val="fr-FR"/>
        </w:rPr>
      </w:pPr>
    </w:p>
    <w:p w14:paraId="7C174A0F" w14:textId="24812ED7" w:rsidR="00BD479B" w:rsidRPr="00BD479B" w:rsidRDefault="00BD479B" w:rsidP="00E46619">
      <w:pPr>
        <w:pStyle w:val="SingleTxt"/>
        <w:keepNext/>
        <w:spacing w:after="0" w:line="120" w:lineRule="exact"/>
        <w:rPr>
          <w:sz w:val="10"/>
          <w:lang w:val="fr-FR"/>
        </w:rPr>
      </w:pPr>
    </w:p>
    <w:tbl>
      <w:tblPr>
        <w:tblW w:w="0" w:type="auto"/>
        <w:tblInd w:w="1260" w:type="dxa"/>
        <w:tblLayout w:type="fixed"/>
        <w:tblCellMar>
          <w:left w:w="0" w:type="dxa"/>
          <w:right w:w="0" w:type="dxa"/>
        </w:tblCellMar>
        <w:tblLook w:val="0000" w:firstRow="0" w:lastRow="0" w:firstColumn="0" w:lastColumn="0" w:noHBand="0" w:noVBand="0"/>
      </w:tblPr>
      <w:tblGrid>
        <w:gridCol w:w="540"/>
        <w:gridCol w:w="6888"/>
      </w:tblGrid>
      <w:tr w:rsidR="00271EBB" w:rsidRPr="007B3C3D" w14:paraId="270ACB6A" w14:textId="77777777" w:rsidTr="00322D5E">
        <w:tc>
          <w:tcPr>
            <w:tcW w:w="540" w:type="dxa"/>
            <w:shd w:val="clear" w:color="auto" w:fill="auto"/>
          </w:tcPr>
          <w:p w14:paraId="29240378" w14:textId="24583ABD" w:rsidR="00271EBB" w:rsidRPr="007B3C3D" w:rsidRDefault="00271EBB" w:rsidP="00E46619">
            <w:pPr>
              <w:keepNext/>
              <w:tabs>
                <w:tab w:val="left" w:pos="288"/>
                <w:tab w:val="left" w:pos="576"/>
                <w:tab w:val="left" w:pos="864"/>
                <w:tab w:val="left" w:pos="1152"/>
              </w:tabs>
              <w:suppressAutoHyphens/>
              <w:spacing w:before="40" w:after="80"/>
              <w:ind w:right="40"/>
              <w:rPr>
                <w:lang w:val="fr-FR"/>
              </w:rPr>
            </w:pPr>
            <w:r>
              <w:rPr>
                <w:lang w:val="fr-FR"/>
              </w:rPr>
              <w:t>5</w:t>
            </w:r>
            <w:r w:rsidRPr="007B3C3D">
              <w:rPr>
                <w:lang w:val="fr-FR"/>
              </w:rPr>
              <w:t>.1</w:t>
            </w:r>
          </w:p>
        </w:tc>
        <w:tc>
          <w:tcPr>
            <w:tcW w:w="6888" w:type="dxa"/>
            <w:shd w:val="clear" w:color="auto" w:fill="auto"/>
          </w:tcPr>
          <w:p w14:paraId="65A5DC8C" w14:textId="33A06BCB" w:rsidR="00271EBB" w:rsidRPr="007B3C3D" w:rsidRDefault="00271EBB" w:rsidP="00E46619">
            <w:pPr>
              <w:keepNext/>
              <w:tabs>
                <w:tab w:val="left" w:pos="288"/>
                <w:tab w:val="left" w:pos="576"/>
                <w:tab w:val="left" w:pos="864"/>
                <w:tab w:val="left" w:pos="1152"/>
              </w:tabs>
              <w:suppressAutoHyphens/>
              <w:spacing w:before="40" w:after="80"/>
              <w:ind w:left="144" w:right="43"/>
              <w:rPr>
                <w:lang w:val="fr-FR"/>
              </w:rPr>
            </w:pPr>
            <w:r w:rsidRPr="00271EBB">
              <w:rPr>
                <w:lang w:val="fr-FR"/>
              </w:rPr>
              <w:t>Gérer les risques que représentent pour l’Organisation les changements climatiques et l’épuisement des ressources naturelles</w:t>
            </w:r>
          </w:p>
        </w:tc>
      </w:tr>
      <w:tr w:rsidR="00271EBB" w:rsidRPr="007B3C3D" w14:paraId="0F18A418" w14:textId="77777777" w:rsidTr="00322D5E">
        <w:tc>
          <w:tcPr>
            <w:tcW w:w="540" w:type="dxa"/>
            <w:shd w:val="clear" w:color="auto" w:fill="auto"/>
          </w:tcPr>
          <w:p w14:paraId="642A7234" w14:textId="054A81FB" w:rsidR="00271EBB" w:rsidRPr="007B3C3D" w:rsidRDefault="00271EBB" w:rsidP="00E46619">
            <w:pPr>
              <w:keepNext/>
              <w:tabs>
                <w:tab w:val="left" w:pos="288"/>
                <w:tab w:val="left" w:pos="576"/>
                <w:tab w:val="left" w:pos="864"/>
                <w:tab w:val="left" w:pos="1152"/>
              </w:tabs>
              <w:suppressAutoHyphens/>
              <w:spacing w:before="40" w:after="80"/>
              <w:ind w:right="40"/>
              <w:rPr>
                <w:lang w:val="fr-FR"/>
              </w:rPr>
            </w:pPr>
            <w:r>
              <w:rPr>
                <w:lang w:val="fr-FR"/>
              </w:rPr>
              <w:t>5</w:t>
            </w:r>
            <w:r w:rsidRPr="007B3C3D">
              <w:rPr>
                <w:lang w:val="fr-FR"/>
              </w:rPr>
              <w:t>.2</w:t>
            </w:r>
          </w:p>
        </w:tc>
        <w:tc>
          <w:tcPr>
            <w:tcW w:w="6888" w:type="dxa"/>
            <w:shd w:val="clear" w:color="auto" w:fill="auto"/>
          </w:tcPr>
          <w:p w14:paraId="4B6C26C8" w14:textId="2A5B25A6" w:rsidR="00271EBB" w:rsidRPr="007B3C3D" w:rsidRDefault="00271EBB" w:rsidP="00E46619">
            <w:pPr>
              <w:keepNext/>
              <w:tabs>
                <w:tab w:val="left" w:pos="288"/>
                <w:tab w:val="left" w:pos="576"/>
                <w:tab w:val="left" w:pos="864"/>
                <w:tab w:val="left" w:pos="1152"/>
              </w:tabs>
              <w:suppressAutoHyphens/>
              <w:spacing w:before="40" w:after="80"/>
              <w:ind w:left="144" w:right="43"/>
              <w:rPr>
                <w:lang w:val="fr-FR"/>
              </w:rPr>
            </w:pPr>
            <w:r w:rsidRPr="00271EBB">
              <w:rPr>
                <w:lang w:val="fr-FR"/>
              </w:rPr>
              <w:t>Relier les cadres de gestion de la viabilité et de la résilience environnementales de l’Organisation</w:t>
            </w:r>
          </w:p>
        </w:tc>
      </w:tr>
      <w:tr w:rsidR="00271EBB" w:rsidRPr="007B3C3D" w14:paraId="55845A16" w14:textId="77777777" w:rsidTr="00322D5E">
        <w:tc>
          <w:tcPr>
            <w:tcW w:w="7428" w:type="dxa"/>
            <w:gridSpan w:val="2"/>
            <w:shd w:val="clear" w:color="auto" w:fill="auto"/>
          </w:tcPr>
          <w:p w14:paraId="518AD118" w14:textId="77777777" w:rsidR="00271EBB" w:rsidRPr="007B3C3D" w:rsidRDefault="00271EBB" w:rsidP="00322D5E">
            <w:pPr>
              <w:tabs>
                <w:tab w:val="left" w:pos="288"/>
                <w:tab w:val="left" w:pos="576"/>
                <w:tab w:val="left" w:pos="864"/>
                <w:tab w:val="left" w:pos="1152"/>
              </w:tabs>
              <w:suppressAutoHyphens/>
              <w:spacing w:before="40" w:after="80"/>
              <w:ind w:left="144" w:right="43" w:hanging="144"/>
              <w:rPr>
                <w:i/>
                <w:iCs/>
                <w:lang w:val="fr-FR"/>
              </w:rPr>
            </w:pPr>
            <w:r w:rsidRPr="007B3C3D">
              <w:rPr>
                <w:i/>
                <w:iCs/>
                <w:lang w:val="fr-FR"/>
              </w:rPr>
              <w:t>Objectifs connexes</w:t>
            </w:r>
          </w:p>
        </w:tc>
      </w:tr>
      <w:tr w:rsidR="00271EBB" w:rsidRPr="007B3C3D" w14:paraId="7284F297" w14:textId="77777777" w:rsidTr="00322D5E">
        <w:tc>
          <w:tcPr>
            <w:tcW w:w="540" w:type="dxa"/>
            <w:shd w:val="clear" w:color="auto" w:fill="auto"/>
          </w:tcPr>
          <w:p w14:paraId="5180EC10" w14:textId="77777777" w:rsidR="00271EBB" w:rsidRPr="007B3C3D" w:rsidRDefault="00271EBB" w:rsidP="00322D5E">
            <w:pPr>
              <w:tabs>
                <w:tab w:val="left" w:pos="288"/>
                <w:tab w:val="left" w:pos="576"/>
                <w:tab w:val="left" w:pos="864"/>
                <w:tab w:val="left" w:pos="1152"/>
              </w:tabs>
              <w:suppressAutoHyphens/>
              <w:spacing w:before="40" w:after="80"/>
              <w:ind w:right="40"/>
              <w:rPr>
                <w:lang w:val="fr-FR"/>
              </w:rPr>
            </w:pPr>
            <w:r w:rsidRPr="007B3C3D">
              <w:rPr>
                <w:lang w:val="fr-FR"/>
              </w:rPr>
              <w:t>a</w:t>
            </w:r>
            <w:r>
              <w:rPr>
                <w:lang w:val="fr-FR"/>
              </w:rPr>
              <w:t>.</w:t>
            </w:r>
          </w:p>
        </w:tc>
        <w:tc>
          <w:tcPr>
            <w:tcW w:w="6888" w:type="dxa"/>
            <w:shd w:val="clear" w:color="auto" w:fill="auto"/>
          </w:tcPr>
          <w:p w14:paraId="59ECF522" w14:textId="0969936D" w:rsidR="00271EBB" w:rsidRPr="007B3C3D" w:rsidRDefault="00271EBB" w:rsidP="00322D5E">
            <w:pPr>
              <w:tabs>
                <w:tab w:val="left" w:pos="288"/>
                <w:tab w:val="left" w:pos="576"/>
                <w:tab w:val="left" w:pos="864"/>
                <w:tab w:val="left" w:pos="1152"/>
              </w:tabs>
              <w:suppressAutoHyphens/>
              <w:spacing w:before="40" w:after="80"/>
              <w:ind w:left="144" w:right="43"/>
              <w:rPr>
                <w:lang w:val="fr-FR"/>
              </w:rPr>
            </w:pPr>
            <w:r w:rsidRPr="00271EBB">
              <w:rPr>
                <w:lang w:val="fr-FR"/>
              </w:rPr>
              <w:t>Gestion efficace et intégrée des risques pesant sur l’Organisation</w:t>
            </w:r>
          </w:p>
        </w:tc>
      </w:tr>
      <w:tr w:rsidR="00271EBB" w:rsidRPr="007B3C3D" w14:paraId="13CA81C1" w14:textId="77777777" w:rsidTr="00322D5E">
        <w:tc>
          <w:tcPr>
            <w:tcW w:w="540" w:type="dxa"/>
            <w:shd w:val="clear" w:color="auto" w:fill="auto"/>
          </w:tcPr>
          <w:p w14:paraId="715B7181" w14:textId="77777777" w:rsidR="00271EBB" w:rsidRPr="007B3C3D" w:rsidRDefault="00271EBB" w:rsidP="00322D5E">
            <w:pPr>
              <w:tabs>
                <w:tab w:val="left" w:pos="288"/>
                <w:tab w:val="left" w:pos="576"/>
                <w:tab w:val="left" w:pos="864"/>
                <w:tab w:val="left" w:pos="1152"/>
              </w:tabs>
              <w:suppressAutoHyphens/>
              <w:spacing w:before="40" w:after="80"/>
              <w:ind w:right="40"/>
              <w:rPr>
                <w:lang w:val="fr-FR"/>
              </w:rPr>
            </w:pPr>
            <w:r w:rsidRPr="007B3C3D">
              <w:rPr>
                <w:lang w:val="fr-FR"/>
              </w:rPr>
              <w:t>b</w:t>
            </w:r>
            <w:r>
              <w:rPr>
                <w:lang w:val="fr-FR"/>
              </w:rPr>
              <w:t>.</w:t>
            </w:r>
          </w:p>
        </w:tc>
        <w:tc>
          <w:tcPr>
            <w:tcW w:w="6888" w:type="dxa"/>
            <w:shd w:val="clear" w:color="auto" w:fill="auto"/>
          </w:tcPr>
          <w:p w14:paraId="5C1E5C5F" w14:textId="0888539A" w:rsidR="00271EBB" w:rsidRPr="007B3C3D" w:rsidRDefault="00271EBB" w:rsidP="00322D5E">
            <w:pPr>
              <w:tabs>
                <w:tab w:val="left" w:pos="288"/>
                <w:tab w:val="left" w:pos="576"/>
                <w:tab w:val="left" w:pos="864"/>
                <w:tab w:val="left" w:pos="1152"/>
              </w:tabs>
              <w:suppressAutoHyphens/>
              <w:spacing w:before="40" w:after="80"/>
              <w:ind w:left="144" w:right="43"/>
              <w:rPr>
                <w:lang w:val="fr-FR"/>
              </w:rPr>
            </w:pPr>
            <w:r w:rsidRPr="00271EBB">
              <w:rPr>
                <w:lang w:val="fr-FR"/>
              </w:rPr>
              <w:t>Préparation et adaptation efficace aux menaces environnementales</w:t>
            </w:r>
          </w:p>
        </w:tc>
      </w:tr>
      <w:tr w:rsidR="00271EBB" w:rsidRPr="007B3C3D" w14:paraId="7CC395BC" w14:textId="77777777" w:rsidTr="00322D5E">
        <w:tc>
          <w:tcPr>
            <w:tcW w:w="540" w:type="dxa"/>
            <w:shd w:val="clear" w:color="auto" w:fill="auto"/>
          </w:tcPr>
          <w:p w14:paraId="5AE08967" w14:textId="77777777" w:rsidR="00271EBB" w:rsidRPr="007B3C3D" w:rsidRDefault="00271EBB" w:rsidP="00322D5E">
            <w:pPr>
              <w:tabs>
                <w:tab w:val="left" w:pos="288"/>
                <w:tab w:val="left" w:pos="576"/>
                <w:tab w:val="left" w:pos="864"/>
                <w:tab w:val="left" w:pos="1152"/>
              </w:tabs>
              <w:suppressAutoHyphens/>
              <w:spacing w:before="40" w:after="80"/>
              <w:ind w:right="40"/>
              <w:rPr>
                <w:lang w:val="fr-FR"/>
              </w:rPr>
            </w:pPr>
            <w:r w:rsidRPr="007B3C3D">
              <w:rPr>
                <w:lang w:val="fr-FR"/>
              </w:rPr>
              <w:t>c</w:t>
            </w:r>
            <w:r>
              <w:rPr>
                <w:lang w:val="fr-FR"/>
              </w:rPr>
              <w:t>.</w:t>
            </w:r>
          </w:p>
        </w:tc>
        <w:tc>
          <w:tcPr>
            <w:tcW w:w="6888" w:type="dxa"/>
            <w:shd w:val="clear" w:color="auto" w:fill="auto"/>
          </w:tcPr>
          <w:p w14:paraId="73040869" w14:textId="4A142CF6" w:rsidR="00271EBB" w:rsidRPr="007B3C3D" w:rsidRDefault="00271EBB" w:rsidP="00322D5E">
            <w:pPr>
              <w:tabs>
                <w:tab w:val="left" w:pos="288"/>
                <w:tab w:val="left" w:pos="576"/>
                <w:tab w:val="left" w:pos="864"/>
                <w:tab w:val="left" w:pos="1152"/>
              </w:tabs>
              <w:suppressAutoHyphens/>
              <w:spacing w:before="40" w:after="80"/>
              <w:ind w:left="144" w:right="43"/>
              <w:rPr>
                <w:lang w:val="fr-FR"/>
              </w:rPr>
            </w:pPr>
            <w:r w:rsidRPr="00271EBB">
              <w:rPr>
                <w:lang w:val="fr-FR"/>
              </w:rPr>
              <w:t>Capacité d’intervention d’urgence et de remise en état efficace en cas d’incidents liés à l’environnement</w:t>
            </w:r>
          </w:p>
        </w:tc>
      </w:tr>
    </w:tbl>
    <w:p w14:paraId="0AEEBEA8" w14:textId="7909F4DC" w:rsidR="00BD479B" w:rsidRPr="00271EBB" w:rsidRDefault="00BD479B" w:rsidP="00271EBB">
      <w:pPr>
        <w:pStyle w:val="SingleTxt"/>
        <w:spacing w:after="0" w:line="120" w:lineRule="exact"/>
        <w:rPr>
          <w:sz w:val="10"/>
          <w:lang w:val="fr-FR"/>
        </w:rPr>
      </w:pPr>
    </w:p>
    <w:p w14:paraId="0E03A0A0" w14:textId="3C35C19D" w:rsidR="00271EBB" w:rsidRPr="00271EBB" w:rsidRDefault="00271EBB" w:rsidP="00271EBB">
      <w:pPr>
        <w:pStyle w:val="SingleTxt"/>
        <w:spacing w:after="0" w:line="120" w:lineRule="exact"/>
        <w:rPr>
          <w:sz w:val="10"/>
          <w:lang w:val="fr-FR"/>
        </w:rPr>
      </w:pPr>
    </w:p>
    <w:p w14:paraId="693816A5" w14:textId="030DC32C" w:rsidR="00A63696" w:rsidRPr="00A63696" w:rsidRDefault="00271EBB" w:rsidP="00271EB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sidR="00A63696" w:rsidRPr="00A63696">
        <w:rPr>
          <w:lang w:val="fr-FR"/>
        </w:rPr>
        <w:t>V.</w:t>
      </w:r>
      <w:r w:rsidR="00A63696" w:rsidRPr="00A63696">
        <w:rPr>
          <w:lang w:val="fr-FR"/>
        </w:rPr>
        <w:tab/>
        <w:t xml:space="preserve">Mise en œuvre </w:t>
      </w:r>
    </w:p>
    <w:p w14:paraId="08A0F5D5" w14:textId="77777777" w:rsidR="00271EBB" w:rsidRPr="00271EBB" w:rsidRDefault="00271EBB" w:rsidP="00271EBB">
      <w:pPr>
        <w:pStyle w:val="SingleTxt"/>
        <w:spacing w:after="0" w:line="120" w:lineRule="exact"/>
        <w:rPr>
          <w:b/>
          <w:bCs/>
          <w:sz w:val="10"/>
          <w:lang w:val="fr-FR"/>
        </w:rPr>
      </w:pPr>
    </w:p>
    <w:p w14:paraId="7F327093" w14:textId="77777777" w:rsidR="00271EBB" w:rsidRPr="00271EBB" w:rsidRDefault="00271EBB" w:rsidP="00271EBB">
      <w:pPr>
        <w:pStyle w:val="SingleTxt"/>
        <w:spacing w:after="0" w:line="120" w:lineRule="exact"/>
        <w:rPr>
          <w:b/>
          <w:bCs/>
          <w:sz w:val="10"/>
          <w:lang w:val="fr-FR"/>
        </w:rPr>
      </w:pPr>
    </w:p>
    <w:p w14:paraId="27C9B42D" w14:textId="54CBACE4" w:rsidR="00A63696" w:rsidRPr="00A63696" w:rsidRDefault="00271EBB" w:rsidP="00271E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sidR="00A63696" w:rsidRPr="00A63696">
        <w:rPr>
          <w:lang w:val="fr-FR"/>
        </w:rPr>
        <w:t>A.</w:t>
      </w:r>
      <w:r w:rsidR="00A63696" w:rsidRPr="00A63696">
        <w:rPr>
          <w:lang w:val="fr-FR"/>
        </w:rPr>
        <w:tab/>
        <w:t>Gestion systématique de la viabilité environnementale</w:t>
      </w:r>
    </w:p>
    <w:p w14:paraId="52CA62BB" w14:textId="77777777" w:rsidR="00271EBB" w:rsidRPr="00271EBB" w:rsidRDefault="00271EBB" w:rsidP="00271EBB">
      <w:pPr>
        <w:pStyle w:val="SingleTxt"/>
        <w:spacing w:after="0" w:line="120" w:lineRule="exact"/>
        <w:rPr>
          <w:sz w:val="10"/>
          <w:lang w:val="fr-FR"/>
        </w:rPr>
      </w:pPr>
    </w:p>
    <w:p w14:paraId="14474821" w14:textId="77777777" w:rsidR="00271EBB" w:rsidRPr="00271EBB" w:rsidRDefault="00271EBB" w:rsidP="00271EBB">
      <w:pPr>
        <w:pStyle w:val="SingleTxt"/>
        <w:spacing w:after="0" w:line="120" w:lineRule="exact"/>
        <w:rPr>
          <w:sz w:val="10"/>
          <w:lang w:val="fr-FR"/>
        </w:rPr>
      </w:pPr>
    </w:p>
    <w:p w14:paraId="0011DBF9" w14:textId="24B4883D" w:rsidR="00A63696" w:rsidRPr="007E0ADB" w:rsidRDefault="00A63696" w:rsidP="00271EBB">
      <w:pPr>
        <w:pStyle w:val="SingleTxt"/>
        <w:numPr>
          <w:ilvl w:val="0"/>
          <w:numId w:val="37"/>
        </w:numPr>
        <w:spacing w:line="240" w:lineRule="exact"/>
        <w:rPr>
          <w:spacing w:val="3"/>
          <w:w w:val="101"/>
          <w:lang w:val="fr-FR"/>
        </w:rPr>
      </w:pPr>
      <w:r w:rsidRPr="007E0ADB">
        <w:rPr>
          <w:spacing w:val="3"/>
          <w:w w:val="101"/>
          <w:lang w:val="fr-FR"/>
        </w:rPr>
        <w:t xml:space="preserve">Comme principal instrument de mise en œuvre de la présente politique, il convient d’adopter un mode de gestion systématique de la viabilité environnementale en vue de produire des avantages pour l’environnement et de faire face aux risques connexes. </w:t>
      </w:r>
    </w:p>
    <w:p w14:paraId="42E89918" w14:textId="77777777" w:rsidR="00271EBB" w:rsidRPr="00271EBB" w:rsidRDefault="00271EBB" w:rsidP="00271EBB">
      <w:pPr>
        <w:pStyle w:val="SingleTxt"/>
        <w:spacing w:after="0" w:line="120" w:lineRule="exact"/>
        <w:rPr>
          <w:i/>
          <w:iCs/>
          <w:sz w:val="10"/>
          <w:lang w:val="fr-FR"/>
        </w:rPr>
      </w:pPr>
    </w:p>
    <w:p w14:paraId="483086B8" w14:textId="47CB1F92" w:rsidR="00A63696" w:rsidRPr="00A63696" w:rsidRDefault="00271EBB" w:rsidP="00271EBB">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A63696" w:rsidRPr="00A63696">
        <w:rPr>
          <w:lang w:val="fr-FR"/>
        </w:rPr>
        <w:t>Systèmes de gestion de l</w:t>
      </w:r>
      <w:r w:rsidR="00A63696">
        <w:rPr>
          <w:lang w:val="fr-FR"/>
        </w:rPr>
        <w:t>’</w:t>
      </w:r>
      <w:r w:rsidR="00A63696" w:rsidRPr="00A63696">
        <w:rPr>
          <w:lang w:val="fr-FR"/>
        </w:rPr>
        <w:t>environnement</w:t>
      </w:r>
    </w:p>
    <w:p w14:paraId="1605588C" w14:textId="77777777" w:rsidR="00271EBB" w:rsidRPr="00271EBB" w:rsidRDefault="00271EBB" w:rsidP="00271EBB">
      <w:pPr>
        <w:pStyle w:val="SingleTxt"/>
        <w:spacing w:after="0" w:line="120" w:lineRule="exact"/>
        <w:rPr>
          <w:sz w:val="10"/>
          <w:lang w:val="fr-FR"/>
        </w:rPr>
      </w:pPr>
    </w:p>
    <w:p w14:paraId="08AD2195" w14:textId="6622B9AA" w:rsidR="00A63696" w:rsidRPr="00A63696" w:rsidRDefault="00A63696" w:rsidP="00271EBB">
      <w:pPr>
        <w:pStyle w:val="SingleTxt"/>
        <w:numPr>
          <w:ilvl w:val="0"/>
          <w:numId w:val="37"/>
        </w:numPr>
        <w:spacing w:line="240" w:lineRule="exact"/>
        <w:rPr>
          <w:lang w:val="fr-FR"/>
        </w:rPr>
      </w:pPr>
      <w:r w:rsidRPr="00A63696">
        <w:rPr>
          <w:lang w:val="fr-FR"/>
        </w:rPr>
        <w:t>Le Secrétariat mettra en place et maintiendra un système de gestion de l</w:t>
      </w:r>
      <w:r>
        <w:rPr>
          <w:lang w:val="fr-FR"/>
        </w:rPr>
        <w:t>’</w:t>
      </w:r>
      <w:r w:rsidRPr="00A63696">
        <w:rPr>
          <w:lang w:val="fr-FR"/>
        </w:rPr>
        <w:t>environnement dans chacun de ses lieux d</w:t>
      </w:r>
      <w:r>
        <w:rPr>
          <w:lang w:val="fr-FR"/>
        </w:rPr>
        <w:t>’</w:t>
      </w:r>
      <w:r w:rsidRPr="00A63696">
        <w:rPr>
          <w:lang w:val="fr-FR"/>
        </w:rPr>
        <w:t>affectation conformément aux orientations pertinentes qui seront publiées.</w:t>
      </w:r>
    </w:p>
    <w:p w14:paraId="74EDFEFB" w14:textId="5D39A18C" w:rsidR="00A63696" w:rsidRPr="00A63696" w:rsidRDefault="00A63696" w:rsidP="00271EBB">
      <w:pPr>
        <w:pStyle w:val="SingleTxt"/>
        <w:numPr>
          <w:ilvl w:val="0"/>
          <w:numId w:val="37"/>
        </w:numPr>
        <w:spacing w:line="240" w:lineRule="exact"/>
        <w:rPr>
          <w:lang w:val="fr-FR"/>
        </w:rPr>
      </w:pPr>
      <w:r w:rsidRPr="00A63696">
        <w:rPr>
          <w:lang w:val="fr-FR"/>
        </w:rPr>
        <w:t>Un système de gestion de l</w:t>
      </w:r>
      <w:r>
        <w:rPr>
          <w:lang w:val="fr-FR"/>
        </w:rPr>
        <w:t>’</w:t>
      </w:r>
      <w:r w:rsidRPr="00A63696">
        <w:rPr>
          <w:lang w:val="fr-FR"/>
        </w:rPr>
        <w:t>environnement est un ensemble de procédures de gestion qui permet à l</w:t>
      </w:r>
      <w:r>
        <w:rPr>
          <w:lang w:val="fr-FR"/>
        </w:rPr>
        <w:t>’</w:t>
      </w:r>
      <w:r w:rsidRPr="00A63696">
        <w:rPr>
          <w:lang w:val="fr-FR"/>
        </w:rPr>
        <w:t>Organisation d</w:t>
      </w:r>
      <w:r>
        <w:rPr>
          <w:lang w:val="fr-FR"/>
        </w:rPr>
        <w:t>’</w:t>
      </w:r>
      <w:r w:rsidRPr="00A63696">
        <w:rPr>
          <w:lang w:val="fr-FR"/>
        </w:rPr>
        <w:t>identifier, d</w:t>
      </w:r>
      <w:r>
        <w:rPr>
          <w:lang w:val="fr-FR"/>
        </w:rPr>
        <w:t>’</w:t>
      </w:r>
      <w:r w:rsidRPr="00A63696">
        <w:rPr>
          <w:lang w:val="fr-FR"/>
        </w:rPr>
        <w:t>évaluer et de réduire l</w:t>
      </w:r>
      <w:r>
        <w:rPr>
          <w:lang w:val="fr-FR"/>
        </w:rPr>
        <w:t>’</w:t>
      </w:r>
      <w:r w:rsidRPr="00A63696">
        <w:rPr>
          <w:lang w:val="fr-FR"/>
        </w:rPr>
        <w:t>impact sur l</w:t>
      </w:r>
      <w:r>
        <w:rPr>
          <w:lang w:val="fr-FR"/>
        </w:rPr>
        <w:t>’</w:t>
      </w:r>
      <w:r w:rsidRPr="00A63696">
        <w:rPr>
          <w:lang w:val="fr-FR"/>
        </w:rPr>
        <w:t>environnement de ses activités et d</w:t>
      </w:r>
      <w:r>
        <w:rPr>
          <w:lang w:val="fr-FR"/>
        </w:rPr>
        <w:t>’</w:t>
      </w:r>
      <w:r w:rsidRPr="00A63696">
        <w:rPr>
          <w:lang w:val="fr-FR"/>
        </w:rPr>
        <w:t>améliorer constamment sa performance environnementale et sa gestion des risques connexes dans des cycles successifs « Préparer-Faire-Vérifier-Agir ». Il intègre des considérations environnementales dans les systèmes de gestion, y compris la planification et la budgétisation, afin de garantir que des ressources appropriées soient allouées aux domaines prioritaires. Dans un cadre commun, le Secrétariat suivra un processus structuré, compte tenu de la situation particulière de chaque lieu d</w:t>
      </w:r>
      <w:r>
        <w:rPr>
          <w:lang w:val="fr-FR"/>
        </w:rPr>
        <w:t>’</w:t>
      </w:r>
      <w:r w:rsidRPr="00A63696">
        <w:rPr>
          <w:lang w:val="fr-FR"/>
        </w:rPr>
        <w:t>affectation, pour faire en sorte que les objectifs et cibles visés et les ripostes aux risques dans le lieu d</w:t>
      </w:r>
      <w:r>
        <w:rPr>
          <w:lang w:val="fr-FR"/>
        </w:rPr>
        <w:t>’</w:t>
      </w:r>
      <w:r w:rsidRPr="00A63696">
        <w:rPr>
          <w:lang w:val="fr-FR"/>
        </w:rPr>
        <w:t>affectation concerné soient définis en fonction des effets les plus importants pour l</w:t>
      </w:r>
      <w:r>
        <w:rPr>
          <w:lang w:val="fr-FR"/>
        </w:rPr>
        <w:t>’</w:t>
      </w:r>
      <w:r w:rsidRPr="00A63696">
        <w:rPr>
          <w:lang w:val="fr-FR"/>
        </w:rPr>
        <w:t>environnement, des capacités disponibles et de l</w:t>
      </w:r>
      <w:r>
        <w:rPr>
          <w:lang w:val="fr-FR"/>
        </w:rPr>
        <w:t>’</w:t>
      </w:r>
      <w:r w:rsidRPr="00A63696">
        <w:rPr>
          <w:lang w:val="fr-FR"/>
        </w:rPr>
        <w:t xml:space="preserve">état de préparation. </w:t>
      </w:r>
    </w:p>
    <w:p w14:paraId="5A987F98" w14:textId="77777777" w:rsidR="00271EBB" w:rsidRPr="00271EBB" w:rsidRDefault="00271EBB" w:rsidP="00271EBB">
      <w:pPr>
        <w:pStyle w:val="SingleTxt"/>
        <w:spacing w:after="0" w:line="120" w:lineRule="exact"/>
        <w:rPr>
          <w:i/>
          <w:iCs/>
          <w:sz w:val="10"/>
          <w:lang w:val="fr-FR"/>
        </w:rPr>
      </w:pPr>
    </w:p>
    <w:p w14:paraId="695BE9AD" w14:textId="391A887C" w:rsidR="00A63696" w:rsidRPr="00A63696" w:rsidRDefault="00271EBB" w:rsidP="00271EBB">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A63696" w:rsidRPr="00A63696">
        <w:rPr>
          <w:lang w:val="fr-FR"/>
        </w:rPr>
        <w:t>Approche par étapes</w:t>
      </w:r>
    </w:p>
    <w:p w14:paraId="02E8A2A0" w14:textId="77777777" w:rsidR="00271EBB" w:rsidRPr="00271EBB" w:rsidRDefault="00271EBB" w:rsidP="00271EBB">
      <w:pPr>
        <w:pStyle w:val="SingleTxt"/>
        <w:spacing w:after="0" w:line="120" w:lineRule="exact"/>
        <w:rPr>
          <w:sz w:val="10"/>
          <w:lang w:val="fr-FR"/>
        </w:rPr>
      </w:pPr>
    </w:p>
    <w:p w14:paraId="062093DA" w14:textId="0CC1D08D" w:rsidR="00A63696" w:rsidRPr="00A63696" w:rsidRDefault="00A63696" w:rsidP="00271EBB">
      <w:pPr>
        <w:pStyle w:val="SingleTxt"/>
        <w:numPr>
          <w:ilvl w:val="0"/>
          <w:numId w:val="37"/>
        </w:numPr>
        <w:spacing w:line="240" w:lineRule="exact"/>
        <w:rPr>
          <w:lang w:val="fr-FR"/>
        </w:rPr>
      </w:pPr>
      <w:r w:rsidRPr="00A63696">
        <w:rPr>
          <w:lang w:val="fr-FR"/>
        </w:rPr>
        <w:t>Vu la complexité et le caractère mondial du Secrétariat, la mise en œuvre des systèmes de gestion de l</w:t>
      </w:r>
      <w:r>
        <w:rPr>
          <w:lang w:val="fr-FR"/>
        </w:rPr>
        <w:t>’</w:t>
      </w:r>
      <w:r w:rsidRPr="00A63696">
        <w:rPr>
          <w:lang w:val="fr-FR"/>
        </w:rPr>
        <w:t>environnement se fera par étapes. Au départ, ces systèmes porteront sur la gestion des opérations et des installations dans les lieux où les installations et les infrastructures sont gérées par le Secrétariat. À terme, grâce à l</w:t>
      </w:r>
      <w:r>
        <w:rPr>
          <w:lang w:val="fr-FR"/>
        </w:rPr>
        <w:t>’</w:t>
      </w:r>
      <w:r w:rsidRPr="00A63696">
        <w:rPr>
          <w:lang w:val="fr-FR"/>
        </w:rPr>
        <w:t>intégration et à l</w:t>
      </w:r>
      <w:r>
        <w:rPr>
          <w:lang w:val="fr-FR"/>
        </w:rPr>
        <w:t>’</w:t>
      </w:r>
      <w:r w:rsidRPr="00A63696">
        <w:rPr>
          <w:lang w:val="fr-FR"/>
        </w:rPr>
        <w:t>interconnexion de ces systèmes, chaque entité du Secrétariat s</w:t>
      </w:r>
      <w:r>
        <w:rPr>
          <w:lang w:val="fr-FR"/>
        </w:rPr>
        <w:t>’</w:t>
      </w:r>
      <w:r w:rsidRPr="00A63696">
        <w:rPr>
          <w:lang w:val="fr-FR"/>
        </w:rPr>
        <w:t>engagera à assurer la gestion de l</w:t>
      </w:r>
      <w:r>
        <w:rPr>
          <w:lang w:val="fr-FR"/>
        </w:rPr>
        <w:t>’</w:t>
      </w:r>
      <w:r w:rsidRPr="00A63696">
        <w:rPr>
          <w:lang w:val="fr-FR"/>
        </w:rPr>
        <w:t>environnement dans son champ d</w:t>
      </w:r>
      <w:r>
        <w:rPr>
          <w:lang w:val="fr-FR"/>
        </w:rPr>
        <w:t>’</w:t>
      </w:r>
      <w:r w:rsidRPr="00A63696">
        <w:rPr>
          <w:lang w:val="fr-FR"/>
        </w:rPr>
        <w:t>action, notamment en évaluant les aspects écologiques importants de ses activités, en élaborant des plans d</w:t>
      </w:r>
      <w:r>
        <w:rPr>
          <w:lang w:val="fr-FR"/>
        </w:rPr>
        <w:t>’</w:t>
      </w:r>
      <w:r w:rsidRPr="00A63696">
        <w:rPr>
          <w:lang w:val="fr-FR"/>
        </w:rPr>
        <w:t>action pour apporter des améliorations dans ses domaines d</w:t>
      </w:r>
      <w:r>
        <w:rPr>
          <w:lang w:val="fr-FR"/>
        </w:rPr>
        <w:t>’</w:t>
      </w:r>
      <w:r w:rsidRPr="00A63696">
        <w:rPr>
          <w:lang w:val="fr-FR"/>
        </w:rPr>
        <w:t>action et pour faire face aux risques, en assurant le suivi, en réalisant des audits et en établissant des rapports sur ses performances environnementales et l</w:t>
      </w:r>
      <w:r>
        <w:rPr>
          <w:lang w:val="fr-FR"/>
        </w:rPr>
        <w:t>’</w:t>
      </w:r>
      <w:r w:rsidRPr="00A63696">
        <w:rPr>
          <w:lang w:val="fr-FR"/>
        </w:rPr>
        <w:t>efficacité de l</w:t>
      </w:r>
      <w:r>
        <w:rPr>
          <w:lang w:val="fr-FR"/>
        </w:rPr>
        <w:t>’</w:t>
      </w:r>
      <w:r w:rsidRPr="00A63696">
        <w:rPr>
          <w:lang w:val="fr-FR"/>
        </w:rPr>
        <w:t>utilisation des ressources. Dans un cadre commun qui intègre les pratiques favorisant la viabilité dans les systèmes de gestion du Secrétariat, chaque lieu d</w:t>
      </w:r>
      <w:r>
        <w:rPr>
          <w:lang w:val="fr-FR"/>
        </w:rPr>
        <w:t>’</w:t>
      </w:r>
      <w:r w:rsidRPr="00A63696">
        <w:rPr>
          <w:lang w:val="fr-FR"/>
        </w:rPr>
        <w:t>affectation et chaque entité feront des efforts propres en matière de gestion de l</w:t>
      </w:r>
      <w:r>
        <w:rPr>
          <w:lang w:val="fr-FR"/>
        </w:rPr>
        <w:t>’</w:t>
      </w:r>
      <w:r w:rsidRPr="00A63696">
        <w:rPr>
          <w:lang w:val="fr-FR"/>
        </w:rPr>
        <w:t>environnement, qui se renforceront mutuellement et viseront à atteindre les objectifs de l</w:t>
      </w:r>
      <w:r>
        <w:rPr>
          <w:lang w:val="fr-FR"/>
        </w:rPr>
        <w:t>’</w:t>
      </w:r>
      <w:r w:rsidRPr="00A63696">
        <w:rPr>
          <w:lang w:val="fr-FR"/>
        </w:rPr>
        <w:t>Organisation en la matière.</w:t>
      </w:r>
    </w:p>
    <w:p w14:paraId="2AD4CB4B" w14:textId="31B3885A" w:rsidR="00A63696" w:rsidRPr="00271EBB" w:rsidRDefault="00A63696" w:rsidP="00271EBB">
      <w:pPr>
        <w:pStyle w:val="SingleTxt"/>
        <w:spacing w:after="0" w:line="120" w:lineRule="exact"/>
        <w:rPr>
          <w:i/>
          <w:iCs/>
          <w:sz w:val="10"/>
          <w:lang w:val="fr-FR"/>
        </w:rPr>
      </w:pPr>
    </w:p>
    <w:p w14:paraId="32C8C2B9" w14:textId="30FACBEF" w:rsidR="00A63696" w:rsidRPr="00A63696" w:rsidRDefault="00271EBB" w:rsidP="00271EBB">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A63696" w:rsidRPr="00A63696">
        <w:rPr>
          <w:lang w:val="fr-FR"/>
        </w:rPr>
        <w:t>Engagement à respecter les normes environnementales</w:t>
      </w:r>
    </w:p>
    <w:p w14:paraId="455461E3" w14:textId="77777777" w:rsidR="00271EBB" w:rsidRPr="00271EBB" w:rsidRDefault="00271EBB" w:rsidP="00271EBB">
      <w:pPr>
        <w:pStyle w:val="SingleTxt"/>
        <w:spacing w:after="0" w:line="120" w:lineRule="exact"/>
        <w:rPr>
          <w:sz w:val="10"/>
          <w:lang w:val="fr-FR"/>
        </w:rPr>
      </w:pPr>
    </w:p>
    <w:p w14:paraId="5AE2F72A" w14:textId="46CB5705" w:rsidR="00A63696" w:rsidRPr="00A63696" w:rsidRDefault="00A63696" w:rsidP="00271EBB">
      <w:pPr>
        <w:pStyle w:val="SingleTxt"/>
        <w:numPr>
          <w:ilvl w:val="0"/>
          <w:numId w:val="37"/>
        </w:numPr>
        <w:spacing w:line="240" w:lineRule="exact"/>
        <w:rPr>
          <w:lang w:val="fr-FR"/>
        </w:rPr>
      </w:pPr>
      <w:r w:rsidRPr="00A63696">
        <w:rPr>
          <w:lang w:val="fr-FR"/>
        </w:rPr>
        <w:t>Le Secrétariat respectera, à titre volontaire, les normes environnementales les plus élevées et les dépassera dans la mesure du possible. Il s</w:t>
      </w:r>
      <w:r>
        <w:rPr>
          <w:lang w:val="fr-FR"/>
        </w:rPr>
        <w:t>’</w:t>
      </w:r>
      <w:r w:rsidRPr="00A63696">
        <w:rPr>
          <w:lang w:val="fr-FR"/>
        </w:rPr>
        <w:t>agirait, selon le cas, a)</w:t>
      </w:r>
      <w:r w:rsidR="00271EBB">
        <w:rPr>
          <w:lang w:val="fr-FR"/>
        </w:rPr>
        <w:t> </w:t>
      </w:r>
      <w:r w:rsidRPr="00A63696">
        <w:rPr>
          <w:lang w:val="fr-FR"/>
        </w:rPr>
        <w:t>des accords, conventions ou protocoles internationaux relatifs à l</w:t>
      </w:r>
      <w:r>
        <w:rPr>
          <w:lang w:val="fr-FR"/>
        </w:rPr>
        <w:t>’</w:t>
      </w:r>
      <w:r w:rsidRPr="00A63696">
        <w:rPr>
          <w:lang w:val="fr-FR"/>
        </w:rPr>
        <w:t>environnement</w:t>
      </w:r>
      <w:r>
        <w:rPr>
          <w:lang w:val="fr-FR"/>
        </w:rPr>
        <w:t> ;</w:t>
      </w:r>
      <w:r w:rsidRPr="00A63696">
        <w:rPr>
          <w:lang w:val="fr-FR"/>
        </w:rPr>
        <w:t xml:space="preserve"> b) des normes environnementales internationales convenues lors des négociations intergouvernementales et des conférences organisées par l</w:t>
      </w:r>
      <w:r>
        <w:rPr>
          <w:lang w:val="fr-FR"/>
        </w:rPr>
        <w:t>’</w:t>
      </w:r>
      <w:r w:rsidRPr="00A63696">
        <w:rPr>
          <w:lang w:val="fr-FR"/>
        </w:rPr>
        <w:t>ONU</w:t>
      </w:r>
      <w:r>
        <w:rPr>
          <w:lang w:val="fr-FR"/>
        </w:rPr>
        <w:t> ;</w:t>
      </w:r>
      <w:r w:rsidRPr="00A63696">
        <w:rPr>
          <w:lang w:val="fr-FR"/>
        </w:rPr>
        <w:t xml:space="preserve"> c) des lois et réglementations du pays hôte régissant l</w:t>
      </w:r>
      <w:r>
        <w:rPr>
          <w:lang w:val="fr-FR"/>
        </w:rPr>
        <w:t>’</w:t>
      </w:r>
      <w:r w:rsidRPr="00A63696">
        <w:rPr>
          <w:lang w:val="fr-FR"/>
        </w:rPr>
        <w:t>environnement</w:t>
      </w:r>
      <w:r>
        <w:rPr>
          <w:lang w:val="fr-FR"/>
        </w:rPr>
        <w:t> ;</w:t>
      </w:r>
      <w:r w:rsidRPr="00A63696">
        <w:rPr>
          <w:lang w:val="fr-FR"/>
        </w:rPr>
        <w:t xml:space="preserve"> et d) des normes définies par les institutions et le secteur industriel, des codes de pratique ou autres accords pertinents sur la gestion de l</w:t>
      </w:r>
      <w:r>
        <w:rPr>
          <w:lang w:val="fr-FR"/>
        </w:rPr>
        <w:t>’</w:t>
      </w:r>
      <w:r w:rsidRPr="00A63696">
        <w:rPr>
          <w:lang w:val="fr-FR"/>
        </w:rPr>
        <w:t>environnement. Pour être respectées, ces normes doivent être compatibles avec les règlements, règles et politiques pertinents de l</w:t>
      </w:r>
      <w:r>
        <w:rPr>
          <w:lang w:val="fr-FR"/>
        </w:rPr>
        <w:t>’</w:t>
      </w:r>
      <w:r w:rsidRPr="00A63696">
        <w:rPr>
          <w:lang w:val="fr-FR"/>
        </w:rPr>
        <w:t xml:space="preserve">ONU. </w:t>
      </w:r>
    </w:p>
    <w:p w14:paraId="070BB65C" w14:textId="77777777" w:rsidR="00271EBB" w:rsidRPr="00271EBB" w:rsidRDefault="00271EBB" w:rsidP="00271EBB">
      <w:pPr>
        <w:pStyle w:val="SingleTxt"/>
        <w:spacing w:after="0" w:line="120" w:lineRule="exact"/>
        <w:rPr>
          <w:b/>
          <w:bCs/>
          <w:sz w:val="10"/>
          <w:lang w:val="fr-FR"/>
        </w:rPr>
      </w:pPr>
    </w:p>
    <w:p w14:paraId="594AA0C9" w14:textId="77777777" w:rsidR="00271EBB" w:rsidRPr="00271EBB" w:rsidRDefault="00271EBB" w:rsidP="00271EBB">
      <w:pPr>
        <w:pStyle w:val="SingleTxt"/>
        <w:spacing w:after="0" w:line="120" w:lineRule="exact"/>
        <w:rPr>
          <w:b/>
          <w:bCs/>
          <w:sz w:val="10"/>
          <w:lang w:val="fr-FR"/>
        </w:rPr>
      </w:pPr>
    </w:p>
    <w:p w14:paraId="5030FCCB" w14:textId="675F97AC" w:rsidR="00A63696" w:rsidRPr="00A63696" w:rsidRDefault="00271EBB" w:rsidP="00271E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sidR="00A63696" w:rsidRPr="00A63696">
        <w:rPr>
          <w:lang w:val="fr-FR"/>
        </w:rPr>
        <w:t>B.</w:t>
      </w:r>
      <w:r w:rsidR="00A63696" w:rsidRPr="00A63696">
        <w:rPr>
          <w:lang w:val="fr-FR"/>
        </w:rPr>
        <w:tab/>
        <w:t>Gouvernance et responsabilités</w:t>
      </w:r>
    </w:p>
    <w:p w14:paraId="71CF795F" w14:textId="77777777" w:rsidR="00271EBB" w:rsidRPr="00271EBB" w:rsidRDefault="00271EBB" w:rsidP="00271EBB">
      <w:pPr>
        <w:pStyle w:val="SingleTxt"/>
        <w:spacing w:after="0" w:line="120" w:lineRule="exact"/>
        <w:rPr>
          <w:sz w:val="10"/>
          <w:lang w:val="fr-FR"/>
        </w:rPr>
      </w:pPr>
    </w:p>
    <w:p w14:paraId="4BC606F5" w14:textId="77777777" w:rsidR="00271EBB" w:rsidRPr="00271EBB" w:rsidRDefault="00271EBB" w:rsidP="00271EBB">
      <w:pPr>
        <w:pStyle w:val="SingleTxt"/>
        <w:spacing w:after="0" w:line="120" w:lineRule="exact"/>
        <w:rPr>
          <w:sz w:val="10"/>
          <w:lang w:val="fr-FR"/>
        </w:rPr>
      </w:pPr>
    </w:p>
    <w:p w14:paraId="025EDF3A" w14:textId="0705C212" w:rsidR="00A63696" w:rsidRPr="00A63696" w:rsidRDefault="00A63696" w:rsidP="00271EBB">
      <w:pPr>
        <w:pStyle w:val="SingleTxt"/>
        <w:numPr>
          <w:ilvl w:val="0"/>
          <w:numId w:val="37"/>
        </w:numPr>
        <w:spacing w:line="240" w:lineRule="exact"/>
        <w:rPr>
          <w:lang w:val="fr-FR"/>
        </w:rPr>
      </w:pPr>
      <w:r w:rsidRPr="00A63696">
        <w:rPr>
          <w:lang w:val="fr-FR"/>
        </w:rPr>
        <w:t>La responsabilité du succès de la mise en œuvre de la politique incombe à l</w:t>
      </w:r>
      <w:r>
        <w:rPr>
          <w:lang w:val="fr-FR"/>
        </w:rPr>
        <w:t>’</w:t>
      </w:r>
      <w:r w:rsidRPr="00A63696">
        <w:rPr>
          <w:lang w:val="fr-FR"/>
        </w:rPr>
        <w:t>équipe de direction du Secrétariat et, en fin de compte, au Secrétaire général. L</w:t>
      </w:r>
      <w:r>
        <w:rPr>
          <w:lang w:val="fr-FR"/>
        </w:rPr>
        <w:t>’</w:t>
      </w:r>
      <w:r w:rsidRPr="00A63696">
        <w:rPr>
          <w:lang w:val="fr-FR"/>
        </w:rPr>
        <w:t>action menée à cet égard est conduite et coordonnée par un groupe directeur du Secrétariat chargé de la gestion de la viabilité écologique qui rassemble les composantes de l</w:t>
      </w:r>
      <w:r>
        <w:rPr>
          <w:lang w:val="fr-FR"/>
        </w:rPr>
        <w:t>’</w:t>
      </w:r>
      <w:r w:rsidRPr="00A63696">
        <w:rPr>
          <w:lang w:val="fr-FR"/>
        </w:rPr>
        <w:t>Organisation qui sont responsables au premier chef de la performance environnementale dans la gestion de leurs activités. En outre, il sera créé dans chaque lieu d</w:t>
      </w:r>
      <w:r>
        <w:rPr>
          <w:lang w:val="fr-FR"/>
        </w:rPr>
        <w:t>’</w:t>
      </w:r>
      <w:r w:rsidRPr="00A63696">
        <w:rPr>
          <w:lang w:val="fr-FR"/>
        </w:rPr>
        <w:t>affectation des organes de gouvernance locale, auxquels participeront des représentants du personnel, selon qu</w:t>
      </w:r>
      <w:r>
        <w:rPr>
          <w:lang w:val="fr-FR"/>
        </w:rPr>
        <w:t>’</w:t>
      </w:r>
      <w:r w:rsidRPr="00A63696">
        <w:rPr>
          <w:lang w:val="fr-FR"/>
        </w:rPr>
        <w:t>il conviendra, pour les questions touchant le personnel conformément à la disposition 8.1 du Règlement du personnel. Il reviendra à un réseau de groupes directeurs ou de comités locaux de l</w:t>
      </w:r>
      <w:r>
        <w:rPr>
          <w:lang w:val="fr-FR"/>
        </w:rPr>
        <w:t>’</w:t>
      </w:r>
      <w:r w:rsidRPr="00A63696">
        <w:rPr>
          <w:lang w:val="fr-FR"/>
        </w:rPr>
        <w:t>environnement chargés de la gestion de la viabilité écologique la tâche de mettre en œuvre la politique et de coordonner la mise en place et le fonctionnement des systèmes de gestion de l</w:t>
      </w:r>
      <w:r>
        <w:rPr>
          <w:lang w:val="fr-FR"/>
        </w:rPr>
        <w:t>’</w:t>
      </w:r>
      <w:r w:rsidRPr="00A63696">
        <w:rPr>
          <w:lang w:val="fr-FR"/>
        </w:rPr>
        <w:t xml:space="preserve">environnement locaux. </w:t>
      </w:r>
    </w:p>
    <w:p w14:paraId="0CA661A1" w14:textId="02F2D095" w:rsidR="00A63696" w:rsidRPr="00A63696" w:rsidRDefault="00A63696" w:rsidP="00271EBB">
      <w:pPr>
        <w:pStyle w:val="SingleTxt"/>
        <w:numPr>
          <w:ilvl w:val="0"/>
          <w:numId w:val="37"/>
        </w:numPr>
        <w:spacing w:line="240" w:lineRule="exact"/>
        <w:rPr>
          <w:lang w:val="fr-FR"/>
        </w:rPr>
      </w:pPr>
      <w:r w:rsidRPr="00A63696">
        <w:rPr>
          <w:lang w:val="fr-FR"/>
        </w:rPr>
        <w:t>À terme, tous les fonctionnaires du Secrétariat doivent contribuer, par leurs actions et décisions professionnelles sur le lieu de travail, à la performance et aux objectifs environnementaux de l</w:t>
      </w:r>
      <w:r>
        <w:rPr>
          <w:lang w:val="fr-FR"/>
        </w:rPr>
        <w:t>’</w:t>
      </w:r>
      <w:r w:rsidRPr="00A63696">
        <w:rPr>
          <w:lang w:val="fr-FR"/>
        </w:rPr>
        <w:t>Organisation. Tous les fonctionnaires et les entités du Secrétariat s</w:t>
      </w:r>
      <w:r>
        <w:rPr>
          <w:lang w:val="fr-FR"/>
        </w:rPr>
        <w:t>’</w:t>
      </w:r>
      <w:r w:rsidRPr="00A63696">
        <w:rPr>
          <w:lang w:val="fr-FR"/>
        </w:rPr>
        <w:t>emploieront à illustrer par leur comportement les principes directeurs de la politique et à appliquer les orientations en matière d</w:t>
      </w:r>
      <w:r>
        <w:rPr>
          <w:lang w:val="fr-FR"/>
        </w:rPr>
        <w:t>’</w:t>
      </w:r>
      <w:r w:rsidRPr="00A63696">
        <w:rPr>
          <w:lang w:val="fr-FR"/>
        </w:rPr>
        <w:t>environnement</w:t>
      </w:r>
      <w:r w:rsidRPr="00A63696">
        <w:rPr>
          <w:vertAlign w:val="superscript"/>
          <w:lang w:val="en-GB"/>
        </w:rPr>
        <w:footnoteReference w:id="10"/>
      </w:r>
      <w:r w:rsidRPr="00A63696">
        <w:rPr>
          <w:lang w:val="fr-FR"/>
        </w:rPr>
        <w:t xml:space="preserve"> et toutes les directives, instructions et procédures opérationnelles publiées au niveau mondial ou local à l</w:t>
      </w:r>
      <w:r>
        <w:rPr>
          <w:lang w:val="fr-FR"/>
        </w:rPr>
        <w:t>’</w:t>
      </w:r>
      <w:r w:rsidRPr="00A63696">
        <w:rPr>
          <w:lang w:val="fr-FR"/>
        </w:rPr>
        <w:t>appui du système de gestion de l</w:t>
      </w:r>
      <w:r>
        <w:rPr>
          <w:lang w:val="fr-FR"/>
        </w:rPr>
        <w:t>’</w:t>
      </w:r>
      <w:r w:rsidRPr="00A63696">
        <w:rPr>
          <w:lang w:val="fr-FR"/>
        </w:rPr>
        <w:t xml:space="preserve">environnement dans tous les aspects des opérations du Secrétariat. </w:t>
      </w:r>
    </w:p>
    <w:p w14:paraId="65FC21C0" w14:textId="3838A5C4" w:rsidR="00A63696" w:rsidRPr="00A63696" w:rsidRDefault="00A63696" w:rsidP="00271EBB">
      <w:pPr>
        <w:pStyle w:val="SingleTxt"/>
        <w:numPr>
          <w:ilvl w:val="0"/>
          <w:numId w:val="37"/>
        </w:numPr>
        <w:spacing w:line="240" w:lineRule="exact"/>
        <w:rPr>
          <w:lang w:val="fr-FR"/>
        </w:rPr>
      </w:pPr>
      <w:r w:rsidRPr="00A63696">
        <w:rPr>
          <w:lang w:val="fr-FR"/>
        </w:rPr>
        <w:t>Des directives détaillées de mise en œuvre seront publiées séparément et révisées et mises à jour en tant que de besoin. Elles seront élaborées progressivement conformément aux meilleures pratiques, en faisant fond sur les orientations existantes en matière d</w:t>
      </w:r>
      <w:r>
        <w:rPr>
          <w:lang w:val="fr-FR"/>
        </w:rPr>
        <w:t>’</w:t>
      </w:r>
      <w:r w:rsidRPr="00A63696">
        <w:rPr>
          <w:lang w:val="fr-FR"/>
        </w:rPr>
        <w:t>environnement. Elles contribueront et seront adaptées aux engagements en matière d</w:t>
      </w:r>
      <w:r>
        <w:rPr>
          <w:lang w:val="fr-FR"/>
        </w:rPr>
        <w:t>’</w:t>
      </w:r>
      <w:r w:rsidRPr="00A63696">
        <w:rPr>
          <w:lang w:val="fr-FR"/>
        </w:rPr>
        <w:t>environnement à l</w:t>
      </w:r>
      <w:r>
        <w:rPr>
          <w:lang w:val="fr-FR"/>
        </w:rPr>
        <w:t>’</w:t>
      </w:r>
      <w:r w:rsidRPr="00A63696">
        <w:rPr>
          <w:lang w:val="fr-FR"/>
        </w:rPr>
        <w:t>échelle du système des Nations Unies convenus par le Conseil des chefs de secrétariat et le Groupe de gestion de l</w:t>
      </w:r>
      <w:r>
        <w:rPr>
          <w:lang w:val="fr-FR"/>
        </w:rPr>
        <w:t>’</w:t>
      </w:r>
      <w:r w:rsidRPr="00A63696">
        <w:rPr>
          <w:lang w:val="fr-FR"/>
        </w:rPr>
        <w:t xml:space="preserve">environnement. </w:t>
      </w:r>
    </w:p>
    <w:p w14:paraId="4FD248E9" w14:textId="77777777" w:rsidR="00271EBB" w:rsidRPr="00271EBB" w:rsidRDefault="00271EBB" w:rsidP="00271EBB">
      <w:pPr>
        <w:pStyle w:val="SingleTxt"/>
        <w:spacing w:after="0" w:line="120" w:lineRule="exact"/>
        <w:rPr>
          <w:b/>
          <w:bCs/>
          <w:sz w:val="10"/>
          <w:lang w:val="fr-FR"/>
        </w:rPr>
      </w:pPr>
    </w:p>
    <w:p w14:paraId="379A4E49" w14:textId="77777777" w:rsidR="00271EBB" w:rsidRPr="00271EBB" w:rsidRDefault="00271EBB" w:rsidP="00271EBB">
      <w:pPr>
        <w:pStyle w:val="SingleTxt"/>
        <w:spacing w:after="0" w:line="120" w:lineRule="exact"/>
        <w:rPr>
          <w:b/>
          <w:bCs/>
          <w:sz w:val="10"/>
          <w:lang w:val="fr-FR"/>
        </w:rPr>
      </w:pPr>
    </w:p>
    <w:p w14:paraId="14A79F6E" w14:textId="51B3303C" w:rsidR="00A63696" w:rsidRPr="00A63696" w:rsidRDefault="00271EBB" w:rsidP="007E0AD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sidR="00A63696" w:rsidRPr="00A63696">
        <w:rPr>
          <w:lang w:val="fr-FR"/>
        </w:rPr>
        <w:t>C.</w:t>
      </w:r>
      <w:r w:rsidR="00A63696" w:rsidRPr="00A63696">
        <w:rPr>
          <w:lang w:val="fr-FR"/>
        </w:rPr>
        <w:tab/>
        <w:t>Suivi et communication de l</w:t>
      </w:r>
      <w:r w:rsidR="00A63696">
        <w:rPr>
          <w:lang w:val="fr-FR"/>
        </w:rPr>
        <w:t>’</w:t>
      </w:r>
      <w:r w:rsidR="00A63696" w:rsidRPr="00A63696">
        <w:rPr>
          <w:lang w:val="fr-FR"/>
        </w:rPr>
        <w:t>information</w:t>
      </w:r>
    </w:p>
    <w:p w14:paraId="6ED478C2" w14:textId="77777777" w:rsidR="00271EBB" w:rsidRPr="00271EBB" w:rsidRDefault="00271EBB" w:rsidP="007E0ADB">
      <w:pPr>
        <w:pStyle w:val="SingleTxt"/>
        <w:keepNext/>
        <w:spacing w:after="0" w:line="120" w:lineRule="exact"/>
        <w:rPr>
          <w:sz w:val="10"/>
          <w:lang w:val="fr-FR"/>
        </w:rPr>
      </w:pPr>
    </w:p>
    <w:p w14:paraId="1DBCF29E" w14:textId="77777777" w:rsidR="00271EBB" w:rsidRPr="00271EBB" w:rsidRDefault="00271EBB" w:rsidP="007E0ADB">
      <w:pPr>
        <w:pStyle w:val="SingleTxt"/>
        <w:keepNext/>
        <w:spacing w:after="0" w:line="120" w:lineRule="exact"/>
        <w:rPr>
          <w:sz w:val="10"/>
          <w:lang w:val="fr-FR"/>
        </w:rPr>
      </w:pPr>
    </w:p>
    <w:p w14:paraId="7D9BFD99" w14:textId="4FE97C73" w:rsidR="00A63696" w:rsidRPr="00A63696" w:rsidRDefault="00A63696" w:rsidP="007E0ADB">
      <w:pPr>
        <w:pStyle w:val="SingleTxt"/>
        <w:keepNext/>
        <w:numPr>
          <w:ilvl w:val="0"/>
          <w:numId w:val="37"/>
        </w:numPr>
        <w:spacing w:line="240" w:lineRule="exact"/>
        <w:rPr>
          <w:lang w:val="fr-FR"/>
        </w:rPr>
      </w:pPr>
      <w:r w:rsidRPr="00A63696">
        <w:rPr>
          <w:lang w:val="fr-FR"/>
        </w:rPr>
        <w:t>Le suivi de la performance par rapport aux objectifs, l</w:t>
      </w:r>
      <w:r>
        <w:rPr>
          <w:lang w:val="fr-FR"/>
        </w:rPr>
        <w:t>’</w:t>
      </w:r>
      <w:r w:rsidRPr="00A63696">
        <w:rPr>
          <w:lang w:val="fr-FR"/>
        </w:rPr>
        <w:t>audit des systèmes par rapport aux normes et l</w:t>
      </w:r>
      <w:r>
        <w:rPr>
          <w:lang w:val="fr-FR"/>
        </w:rPr>
        <w:t>’</w:t>
      </w:r>
      <w:r w:rsidRPr="00A63696">
        <w:rPr>
          <w:lang w:val="fr-FR"/>
        </w:rPr>
        <w:t>examen des résultats par la direction font partie intégrante des systèmes de gestion de l</w:t>
      </w:r>
      <w:r>
        <w:rPr>
          <w:lang w:val="fr-FR"/>
        </w:rPr>
        <w:t>’</w:t>
      </w:r>
      <w:r w:rsidRPr="00A63696">
        <w:rPr>
          <w:lang w:val="fr-FR"/>
        </w:rPr>
        <w:t>environnement.</w:t>
      </w:r>
      <w:r w:rsidR="00F0331C">
        <w:rPr>
          <w:lang w:val="fr-FR"/>
        </w:rPr>
        <w:t xml:space="preserve"> </w:t>
      </w:r>
      <w:r w:rsidRPr="00A63696">
        <w:rPr>
          <w:lang w:val="fr-FR"/>
        </w:rPr>
        <w:t>Le Secrétariat s</w:t>
      </w:r>
      <w:r>
        <w:rPr>
          <w:lang w:val="fr-FR"/>
        </w:rPr>
        <w:t>’</w:t>
      </w:r>
      <w:r w:rsidRPr="00A63696">
        <w:rPr>
          <w:lang w:val="fr-FR"/>
        </w:rPr>
        <w:t>engage donc également, par la politique, conformément aux mandats confiés par l</w:t>
      </w:r>
      <w:r>
        <w:rPr>
          <w:lang w:val="fr-FR"/>
        </w:rPr>
        <w:t>’</w:t>
      </w:r>
      <w:r w:rsidRPr="00A63696">
        <w:rPr>
          <w:lang w:val="fr-FR"/>
        </w:rPr>
        <w:t>Assemblée générale, à rendre compte régulièrement et en toute transparence de sa performance environnementale mondiale aux parties prenantes internes et externes, notamment en participant à l</w:t>
      </w:r>
      <w:r>
        <w:rPr>
          <w:lang w:val="fr-FR"/>
        </w:rPr>
        <w:t>’</w:t>
      </w:r>
      <w:r w:rsidRPr="00A63696">
        <w:rPr>
          <w:lang w:val="fr-FR"/>
        </w:rPr>
        <w:t>élaboration des rapports voulus à l</w:t>
      </w:r>
      <w:r>
        <w:rPr>
          <w:lang w:val="fr-FR"/>
        </w:rPr>
        <w:t>’</w:t>
      </w:r>
      <w:r w:rsidRPr="00A63696">
        <w:rPr>
          <w:lang w:val="fr-FR"/>
        </w:rPr>
        <w:t>échelle du système des Nations Unies. Il s</w:t>
      </w:r>
      <w:r>
        <w:rPr>
          <w:lang w:val="fr-FR"/>
        </w:rPr>
        <w:t>’</w:t>
      </w:r>
      <w:r w:rsidRPr="00A63696">
        <w:rPr>
          <w:lang w:val="fr-FR"/>
        </w:rPr>
        <w:t>agit notamment d</w:t>
      </w:r>
      <w:r>
        <w:rPr>
          <w:lang w:val="fr-FR"/>
        </w:rPr>
        <w:t>’</w:t>
      </w:r>
      <w:r w:rsidRPr="00A63696">
        <w:rPr>
          <w:lang w:val="fr-FR"/>
        </w:rPr>
        <w:t>établir des rapports périodiques présentant les résultats obtenus par rapport aux objectifs fixés concernant les aspects importants des questions environnementales traitées par le Secrétariat dans chaque lieu d</w:t>
      </w:r>
      <w:r>
        <w:rPr>
          <w:lang w:val="fr-FR"/>
        </w:rPr>
        <w:t>’</w:t>
      </w:r>
      <w:r w:rsidRPr="00A63696">
        <w:rPr>
          <w:lang w:val="fr-FR"/>
        </w:rPr>
        <w:t xml:space="preserve">affectation. </w:t>
      </w:r>
    </w:p>
    <w:p w14:paraId="645CD117" w14:textId="40FD4915" w:rsidR="00A63696" w:rsidRPr="00A63696" w:rsidRDefault="00A63696" w:rsidP="00F0331C">
      <w:pPr>
        <w:pStyle w:val="SingleTxt"/>
        <w:numPr>
          <w:ilvl w:val="0"/>
          <w:numId w:val="37"/>
        </w:numPr>
        <w:spacing w:line="240" w:lineRule="exact"/>
        <w:rPr>
          <w:lang w:val="fr-FR"/>
        </w:rPr>
      </w:pPr>
      <w:r w:rsidRPr="00A63696">
        <w:rPr>
          <w:lang w:val="fr-FR"/>
        </w:rPr>
        <w:t>La politique sera révisée au moins tous les cinq ans.</w:t>
      </w:r>
    </w:p>
    <w:p w14:paraId="1CD9E4F5" w14:textId="180BB830" w:rsidR="00A63696" w:rsidRPr="00F0331C" w:rsidRDefault="00F0331C" w:rsidP="00F0331C">
      <w:pPr>
        <w:pStyle w:val="SingleTxt"/>
        <w:spacing w:after="0" w:line="240" w:lineRule="auto"/>
        <w:rPr>
          <w:lang w:val="fr-FR"/>
        </w:rPr>
      </w:pPr>
      <w:r>
        <w:rPr>
          <w:noProof/>
          <w:w w:val="100"/>
          <w:lang w:val="fr-FR"/>
        </w:rPr>
        <mc:AlternateContent>
          <mc:Choice Requires="wps">
            <w:drawing>
              <wp:anchor distT="0" distB="0" distL="114300" distR="114300" simplePos="0" relativeHeight="251659264" behindDoc="0" locked="0" layoutInCell="1" allowOverlap="1" wp14:anchorId="14A5C11D" wp14:editId="19584845">
                <wp:simplePos x="0" y="0"/>
                <wp:positionH relativeFrom="page">
                  <wp:posOffset>3429000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A7DA00"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A63696" w:rsidRPr="00F0331C" w:rsidSect="00F57BC3">
      <w:footnotePr>
        <w:numRestart w:val="eachSect"/>
      </w:footnotePr>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3FF39" w14:textId="77777777" w:rsidR="004B35C7" w:rsidRDefault="004B35C7" w:rsidP="00101B18">
      <w:pPr>
        <w:spacing w:line="240" w:lineRule="auto"/>
      </w:pPr>
      <w:r>
        <w:separator/>
      </w:r>
    </w:p>
  </w:endnote>
  <w:endnote w:type="continuationSeparator" w:id="0">
    <w:p w14:paraId="568F2BF7" w14:textId="77777777" w:rsidR="004B35C7" w:rsidRDefault="004B35C7" w:rsidP="00101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4B35C7" w14:paraId="7C5B528C" w14:textId="77777777" w:rsidTr="00077EC1">
      <w:tc>
        <w:tcPr>
          <w:tcW w:w="4920" w:type="dxa"/>
          <w:shd w:val="clear" w:color="auto" w:fill="auto"/>
        </w:tcPr>
        <w:p w14:paraId="702B99FF" w14:textId="74F81780" w:rsidR="004B35C7" w:rsidRPr="00077EC1" w:rsidRDefault="004B35C7" w:rsidP="00077EC1">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65426">
            <w:rPr>
              <w:b w:val="0"/>
              <w:w w:val="103"/>
              <w:sz w:val="14"/>
            </w:rPr>
            <w:t>19-15224</w:t>
          </w:r>
          <w:r>
            <w:rPr>
              <w:b w:val="0"/>
              <w:w w:val="103"/>
              <w:sz w:val="14"/>
            </w:rPr>
            <w:fldChar w:fldCharType="end"/>
          </w:r>
        </w:p>
      </w:tc>
      <w:tc>
        <w:tcPr>
          <w:tcW w:w="4920" w:type="dxa"/>
          <w:shd w:val="clear" w:color="auto" w:fill="auto"/>
        </w:tcPr>
        <w:p w14:paraId="53BFB3A3" w14:textId="77777777" w:rsidR="004B35C7" w:rsidRPr="00077EC1" w:rsidRDefault="004B35C7" w:rsidP="00077EC1">
          <w:pPr>
            <w:pStyle w:val="Footer"/>
            <w:rPr>
              <w:w w:val="103"/>
            </w:rPr>
          </w:pPr>
          <w:r>
            <w:rPr>
              <w:w w:val="103"/>
            </w:rPr>
            <w:fldChar w:fldCharType="begin"/>
          </w:r>
          <w:r>
            <w:rPr>
              <w:w w:val="103"/>
            </w:rPr>
            <w:instrText xml:space="preserve"> PAGE  \* Arabic  \* MERGEFORMAT </w:instrText>
          </w:r>
          <w:r>
            <w:rPr>
              <w:w w:val="103"/>
            </w:rPr>
            <w:fldChar w:fldCharType="separate"/>
          </w:r>
          <w:r>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r>
  </w:tbl>
  <w:p w14:paraId="567AB8FF" w14:textId="77777777" w:rsidR="004B35C7" w:rsidRPr="00077EC1" w:rsidRDefault="004B35C7" w:rsidP="00077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4B35C7" w14:paraId="2549CEC2" w14:textId="77777777" w:rsidTr="00077EC1">
      <w:tc>
        <w:tcPr>
          <w:tcW w:w="4920" w:type="dxa"/>
          <w:shd w:val="clear" w:color="auto" w:fill="auto"/>
        </w:tcPr>
        <w:p w14:paraId="5C633DC8" w14:textId="77777777" w:rsidR="004B35C7" w:rsidRPr="00077EC1" w:rsidRDefault="004B35C7" w:rsidP="00077EC1">
          <w:pPr>
            <w:pStyle w:val="Footer"/>
            <w:jc w:val="right"/>
            <w:rPr>
              <w:w w:val="103"/>
            </w:rPr>
          </w:pPr>
          <w:r>
            <w:rPr>
              <w:w w:val="103"/>
            </w:rPr>
            <w:fldChar w:fldCharType="begin"/>
          </w:r>
          <w:r>
            <w:rPr>
              <w:w w:val="103"/>
            </w:rPr>
            <w:instrText xml:space="preserve"> PAGE  \* Arabic  \* MERGEFORMAT </w:instrText>
          </w:r>
          <w:r>
            <w:rPr>
              <w:w w:val="103"/>
            </w:rPr>
            <w:fldChar w:fldCharType="separate"/>
          </w:r>
          <w:r>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3</w:t>
          </w:r>
          <w:r>
            <w:rPr>
              <w:w w:val="103"/>
            </w:rPr>
            <w:fldChar w:fldCharType="end"/>
          </w:r>
        </w:p>
      </w:tc>
      <w:tc>
        <w:tcPr>
          <w:tcW w:w="4920" w:type="dxa"/>
          <w:shd w:val="clear" w:color="auto" w:fill="auto"/>
        </w:tcPr>
        <w:p w14:paraId="6645F80C" w14:textId="61FC37F8" w:rsidR="004B35C7" w:rsidRPr="00077EC1" w:rsidRDefault="004B35C7" w:rsidP="00077EC1">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65426">
            <w:rPr>
              <w:b w:val="0"/>
              <w:w w:val="103"/>
              <w:sz w:val="14"/>
            </w:rPr>
            <w:t>19-15224</w:t>
          </w:r>
          <w:r>
            <w:rPr>
              <w:b w:val="0"/>
              <w:w w:val="103"/>
              <w:sz w:val="14"/>
            </w:rPr>
            <w:fldChar w:fldCharType="end"/>
          </w:r>
        </w:p>
      </w:tc>
    </w:tr>
  </w:tbl>
  <w:p w14:paraId="1B8DBF9F" w14:textId="77777777" w:rsidR="004B35C7" w:rsidRPr="00077EC1" w:rsidRDefault="004B35C7" w:rsidP="00077E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3DA0F" w14:textId="77777777" w:rsidR="004B35C7" w:rsidRDefault="004B35C7">
    <w:pPr>
      <w:pStyle w:val="Footer"/>
    </w:pPr>
    <w:r>
      <w:rPr>
        <w:noProof/>
      </w:rPr>
      <w:drawing>
        <wp:anchor distT="0" distB="0" distL="114300" distR="114300" simplePos="0" relativeHeight="251658240" behindDoc="0" locked="0" layoutInCell="1" allowOverlap="1" wp14:anchorId="7195D37F" wp14:editId="1BDFA168">
          <wp:simplePos x="0" y="0"/>
          <wp:positionH relativeFrom="column">
            <wp:posOffset>5532120</wp:posOffset>
          </wp:positionH>
          <wp:positionV relativeFrom="paragraph">
            <wp:posOffset>-228600</wp:posOffset>
          </wp:positionV>
          <wp:extent cx="694690" cy="694690"/>
          <wp:effectExtent l="0" t="0" r="0" b="0"/>
          <wp:wrapNone/>
          <wp:docPr id="3" name="Picture 3" descr="https://undocs.org/m2/QRCode2.ashx?DS=ST/SGB/2019/7&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ST/SGB/2019/7&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3758"/>
      <w:gridCol w:w="4920"/>
    </w:tblGrid>
    <w:tr w:rsidR="004B35C7" w14:paraId="2677D422" w14:textId="77777777" w:rsidTr="00077EC1">
      <w:tc>
        <w:tcPr>
          <w:tcW w:w="3758" w:type="dxa"/>
        </w:tcPr>
        <w:p w14:paraId="1231710E" w14:textId="16EB576E" w:rsidR="004B35C7" w:rsidRDefault="004B35C7" w:rsidP="00077EC1">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365426">
            <w:rPr>
              <w:b w:val="0"/>
              <w:sz w:val="20"/>
            </w:rPr>
            <w:t>19-15224 (F)</w:t>
          </w:r>
          <w:r>
            <w:rPr>
              <w:b w:val="0"/>
              <w:sz w:val="20"/>
            </w:rPr>
            <w:fldChar w:fldCharType="end"/>
          </w:r>
          <w:r>
            <w:rPr>
              <w:b w:val="0"/>
              <w:sz w:val="20"/>
            </w:rPr>
            <w:t xml:space="preserve">    </w:t>
          </w:r>
          <w:r w:rsidR="006757F1">
            <w:rPr>
              <w:b w:val="0"/>
              <w:sz w:val="20"/>
            </w:rPr>
            <w:t>06</w:t>
          </w:r>
          <w:r>
            <w:rPr>
              <w:b w:val="0"/>
              <w:sz w:val="20"/>
            </w:rPr>
            <w:t>0919    120919</w:t>
          </w:r>
        </w:p>
        <w:p w14:paraId="0DCAE674" w14:textId="6F9A4908" w:rsidR="004B35C7" w:rsidRPr="00077EC1" w:rsidRDefault="004B35C7" w:rsidP="00077EC1">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spacing w:val="0"/>
              <w:w w:val="100"/>
              <w:sz w:val="24"/>
            </w:rPr>
            <w:fldChar w:fldCharType="begin"/>
          </w:r>
          <w:r>
            <w:rPr>
              <w:rFonts w:ascii="Barcode 3 of 9 by request" w:hAnsi="Barcode 3 of 9 by request"/>
              <w:spacing w:val="0"/>
              <w:w w:val="100"/>
              <w:sz w:val="24"/>
            </w:rPr>
            <w:instrText xml:space="preserve"> DOCVARIABLE "Barcode" \* MERGEFORMAT </w:instrText>
          </w:r>
          <w:r>
            <w:rPr>
              <w:rFonts w:ascii="Barcode 3 of 9 by request" w:hAnsi="Barcode 3 of 9 by request"/>
              <w:spacing w:val="0"/>
              <w:w w:val="100"/>
              <w:sz w:val="24"/>
            </w:rPr>
            <w:fldChar w:fldCharType="separate"/>
          </w:r>
          <w:r w:rsidR="00365426">
            <w:rPr>
              <w:rFonts w:ascii="Barcode 3 of 9 by request" w:hAnsi="Barcode 3 of 9 by request"/>
              <w:spacing w:val="0"/>
              <w:w w:val="100"/>
              <w:sz w:val="24"/>
            </w:rPr>
            <w:t>*1915224*</w:t>
          </w:r>
          <w:r>
            <w:rPr>
              <w:rFonts w:ascii="Barcode 3 of 9 by request" w:hAnsi="Barcode 3 of 9 by request"/>
              <w:spacing w:val="0"/>
              <w:w w:val="100"/>
              <w:sz w:val="24"/>
            </w:rPr>
            <w:fldChar w:fldCharType="end"/>
          </w:r>
        </w:p>
      </w:tc>
      <w:tc>
        <w:tcPr>
          <w:tcW w:w="4920" w:type="dxa"/>
        </w:tcPr>
        <w:p w14:paraId="3BF7A4BE" w14:textId="77777777" w:rsidR="004B35C7" w:rsidRDefault="004B35C7" w:rsidP="00077EC1">
          <w:pPr>
            <w:pStyle w:val="Footer"/>
            <w:spacing w:line="240" w:lineRule="atLeast"/>
            <w:jc w:val="right"/>
            <w:rPr>
              <w:b w:val="0"/>
              <w:sz w:val="20"/>
            </w:rPr>
          </w:pPr>
          <w:r>
            <w:rPr>
              <w:b w:val="0"/>
              <w:noProof/>
              <w:sz w:val="20"/>
            </w:rPr>
            <w:drawing>
              <wp:inline distT="0" distB="0" distL="0" distR="0" wp14:anchorId="6D3FC668" wp14:editId="42AB6364">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stretch>
                          <a:fillRect/>
                        </a:stretch>
                      </pic:blipFill>
                      <pic:spPr>
                        <a:xfrm>
                          <a:off x="0" y="0"/>
                          <a:ext cx="1109474" cy="231648"/>
                        </a:xfrm>
                        <a:prstGeom prst="rect">
                          <a:avLst/>
                        </a:prstGeom>
                      </pic:spPr>
                    </pic:pic>
                  </a:graphicData>
                </a:graphic>
              </wp:inline>
            </w:drawing>
          </w:r>
        </w:p>
      </w:tc>
    </w:tr>
  </w:tbl>
  <w:p w14:paraId="5E11DE49" w14:textId="77777777" w:rsidR="004B35C7" w:rsidRPr="00077EC1" w:rsidRDefault="004B35C7" w:rsidP="00077EC1">
    <w:pPr>
      <w:pStyle w:val="Footer"/>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ADC6F" w14:textId="05348DF7" w:rsidR="004B35C7" w:rsidRPr="00A63696" w:rsidRDefault="004B35C7" w:rsidP="00A63696">
      <w:pPr>
        <w:pStyle w:val="Footer"/>
        <w:spacing w:after="80"/>
        <w:ind w:left="792"/>
        <w:rPr>
          <w:sz w:val="16"/>
        </w:rPr>
      </w:pPr>
      <w:r w:rsidRPr="00A63696">
        <w:rPr>
          <w:sz w:val="16"/>
        </w:rPr>
        <w:t>__________________</w:t>
      </w:r>
    </w:p>
  </w:footnote>
  <w:footnote w:type="continuationSeparator" w:id="0">
    <w:p w14:paraId="4BE66FAE" w14:textId="737BC97B" w:rsidR="004B35C7" w:rsidRPr="00A63696" w:rsidRDefault="004B35C7" w:rsidP="00A63696">
      <w:pPr>
        <w:pStyle w:val="Footer"/>
        <w:spacing w:after="80"/>
        <w:ind w:left="792"/>
        <w:rPr>
          <w:sz w:val="16"/>
        </w:rPr>
      </w:pPr>
      <w:r w:rsidRPr="00A63696">
        <w:rPr>
          <w:sz w:val="16"/>
        </w:rPr>
        <w:t>__________________</w:t>
      </w:r>
    </w:p>
  </w:footnote>
  <w:footnote w:id="1">
    <w:p w14:paraId="1D5E05DF" w14:textId="785C8831" w:rsidR="004B35C7" w:rsidRPr="00A63696" w:rsidRDefault="004B35C7" w:rsidP="00A63696">
      <w:pPr>
        <w:pStyle w:val="FootnoteText"/>
        <w:tabs>
          <w:tab w:val="right" w:pos="1195"/>
          <w:tab w:val="left" w:pos="1267"/>
          <w:tab w:val="left" w:pos="1742"/>
          <w:tab w:val="left" w:pos="2218"/>
          <w:tab w:val="left" w:pos="2693"/>
        </w:tabs>
        <w:ind w:left="1267" w:right="1260" w:hanging="576"/>
        <w:rPr>
          <w:spacing w:val="3"/>
          <w:w w:val="100"/>
        </w:rPr>
      </w:pPr>
      <w:r w:rsidRPr="00A63696">
        <w:rPr>
          <w:spacing w:val="3"/>
          <w:w w:val="100"/>
        </w:rPr>
        <w:tab/>
      </w:r>
      <w:r w:rsidRPr="00A63696">
        <w:rPr>
          <w:rStyle w:val="FootnoteReference"/>
          <w:spacing w:val="3"/>
          <w:w w:val="100"/>
        </w:rPr>
        <w:footnoteRef/>
      </w:r>
      <w:r w:rsidRPr="00A63696">
        <w:rPr>
          <w:spacing w:val="3"/>
          <w:w w:val="100"/>
        </w:rPr>
        <w:tab/>
        <w:t xml:space="preserve">Dans sa résolution </w:t>
      </w:r>
      <w:hyperlink r:id="rId1" w:history="1">
        <w:r w:rsidRPr="00A63696">
          <w:rPr>
            <w:rStyle w:val="Hyperlink"/>
            <w:spacing w:val="3"/>
            <w:w w:val="100"/>
          </w:rPr>
          <w:t>70/1</w:t>
        </w:r>
      </w:hyperlink>
      <w:r w:rsidRPr="00A63696">
        <w:rPr>
          <w:spacing w:val="3"/>
          <w:w w:val="100"/>
        </w:rPr>
        <w:t xml:space="preserve"> du 25 septembre 2015, l’Assemblée générale a adopté le document final du Sommet des Nations Unies consacré à l’adoption du programme de développement pour l’après-2015. </w:t>
      </w:r>
    </w:p>
  </w:footnote>
  <w:footnote w:id="2">
    <w:p w14:paraId="3B141002" w14:textId="35B55454" w:rsidR="004B35C7" w:rsidRPr="00DB1D9F" w:rsidRDefault="004B35C7" w:rsidP="00A63696">
      <w:pPr>
        <w:pStyle w:val="FootnoteText"/>
        <w:tabs>
          <w:tab w:val="right" w:pos="1195"/>
          <w:tab w:val="left" w:pos="1267"/>
          <w:tab w:val="left" w:pos="1742"/>
          <w:tab w:val="left" w:pos="2218"/>
          <w:tab w:val="left" w:pos="2693"/>
        </w:tabs>
        <w:ind w:left="1267" w:right="1260" w:hanging="576"/>
      </w:pPr>
      <w:r>
        <w:tab/>
      </w:r>
      <w:r w:rsidRPr="000D7D6D">
        <w:rPr>
          <w:rStyle w:val="FootnoteReference"/>
        </w:rPr>
        <w:footnoteRef/>
      </w:r>
      <w:r>
        <w:tab/>
      </w:r>
      <w:r w:rsidRPr="00A63696">
        <w:t>Le 27 avril 2017, le Secrétaire général a présenté un plan d’action visant à intégrer des pratiques de développement durable dans la gestion des opérations et des installations du Secrétariat de l’ONU (</w:t>
      </w:r>
      <w:hyperlink r:id="rId2" w:history="1">
        <w:r w:rsidRPr="00A63696">
          <w:rPr>
            <w:rStyle w:val="Hyperlink"/>
          </w:rPr>
          <w:t>A/72/82</w:t>
        </w:r>
      </w:hyperlink>
      <w:r w:rsidRPr="00A63696">
        <w:t>).</w:t>
      </w:r>
      <w:r>
        <w:t xml:space="preserve"> </w:t>
      </w:r>
      <w:r w:rsidRPr="00A63696">
        <w:t xml:space="preserve">Au paragraphe 19 de sa résolution </w:t>
      </w:r>
      <w:hyperlink r:id="rId3" w:history="1">
        <w:r w:rsidRPr="00A63696">
          <w:rPr>
            <w:rStyle w:val="Hyperlink"/>
          </w:rPr>
          <w:t>72/219</w:t>
        </w:r>
      </w:hyperlink>
      <w:r w:rsidRPr="00A63696">
        <w:t xml:space="preserve"> du 20 décembre 2017, l’Assemblée générale a fait sien le plan d’action présenté par le Secrétaire général visant à intégrer des pratiques de développement durable dans la gestion des opérations et des installations du Secrétariat de l’ONU et a prié le Secrétaire général de mettre en œuvre, dans la limite des ressources disponibles, les recommandations qu’il a formulées à cet égard.</w:t>
      </w:r>
    </w:p>
  </w:footnote>
  <w:footnote w:id="3">
    <w:p w14:paraId="0BB6E7F5" w14:textId="48874FBA" w:rsidR="004B35C7" w:rsidRPr="00DD3011" w:rsidRDefault="004B35C7" w:rsidP="00A63696">
      <w:pPr>
        <w:pStyle w:val="FootnoteText"/>
        <w:tabs>
          <w:tab w:val="right" w:pos="1195"/>
          <w:tab w:val="left" w:pos="1267"/>
          <w:tab w:val="left" w:pos="1742"/>
          <w:tab w:val="left" w:pos="2218"/>
          <w:tab w:val="left" w:pos="2693"/>
        </w:tabs>
        <w:ind w:left="1267" w:right="1260" w:hanging="576"/>
      </w:pPr>
      <w:r>
        <w:tab/>
      </w:r>
      <w:r>
        <w:rPr>
          <w:rStyle w:val="FootnoteReference"/>
        </w:rPr>
        <w:footnoteRef/>
      </w:r>
      <w:r>
        <w:tab/>
      </w:r>
      <w:r w:rsidRPr="00A63696">
        <w:t xml:space="preserve">Au paragraphe 31 de sa résolution </w:t>
      </w:r>
      <w:hyperlink r:id="rId4" w:history="1">
        <w:r w:rsidRPr="00A63696">
          <w:rPr>
            <w:rStyle w:val="Hyperlink"/>
          </w:rPr>
          <w:t>70/286</w:t>
        </w:r>
      </w:hyperlink>
      <w:r w:rsidR="00063668">
        <w:t xml:space="preserve"> du</w:t>
      </w:r>
      <w:r w:rsidR="003A4E6E">
        <w:t xml:space="preserve"> 17 juin 2016</w:t>
      </w:r>
      <w:r w:rsidRPr="00A63696">
        <w:t>, l’Assemblée générale a prié le Secrétaire général de poursuivre l’action qu’il menait pour réduire l’empreinte écologique globale des missions de maintien de la paix, notamment en mettant en place des systèmes de gestion des déchets et de production d’énergie qui soient respectueux de l’environnement, dans le plein respect des règles et des règlements applicables. Des demandes similaires figuraient dans les précédentes résolutions de l’Assemblée générale et du Conseil de sécurité relatives aux missions de maintien de la paix.</w:t>
      </w:r>
    </w:p>
  </w:footnote>
  <w:footnote w:id="4">
    <w:p w14:paraId="02ED6392" w14:textId="3E7C1B4E" w:rsidR="004B35C7" w:rsidRPr="00F44DBC" w:rsidRDefault="004B35C7" w:rsidP="00A63696">
      <w:pPr>
        <w:pStyle w:val="FootnoteText"/>
        <w:tabs>
          <w:tab w:val="right" w:pos="1195"/>
          <w:tab w:val="left" w:pos="1267"/>
          <w:tab w:val="left" w:pos="1742"/>
          <w:tab w:val="left" w:pos="2218"/>
          <w:tab w:val="left" w:pos="2693"/>
        </w:tabs>
        <w:ind w:left="1267" w:right="1260" w:hanging="576"/>
      </w:pPr>
      <w:r>
        <w:tab/>
      </w:r>
      <w:r>
        <w:rPr>
          <w:rStyle w:val="FootnoteReference"/>
        </w:rPr>
        <w:footnoteRef/>
      </w:r>
      <w:r>
        <w:tab/>
      </w:r>
      <w:r w:rsidRPr="00A63696">
        <w:t>Stratégie de gestion de la durabilité dans le système des Nations Unies (2020-2030) (</w:t>
      </w:r>
      <w:hyperlink r:id="rId5" w:history="1">
        <w:r w:rsidRPr="00A63696">
          <w:rPr>
            <w:rStyle w:val="Hyperlink"/>
          </w:rPr>
          <w:t>CEB/2019/3/Add.2</w:t>
        </w:r>
      </w:hyperlink>
      <w:r w:rsidRPr="00A63696">
        <w:t>).</w:t>
      </w:r>
    </w:p>
  </w:footnote>
  <w:footnote w:id="5">
    <w:p w14:paraId="6811890A" w14:textId="11FAF056" w:rsidR="004B35C7" w:rsidRPr="005A09B3" w:rsidRDefault="004B35C7" w:rsidP="00A63696">
      <w:pPr>
        <w:pStyle w:val="FootnoteText"/>
        <w:tabs>
          <w:tab w:val="right" w:pos="1195"/>
          <w:tab w:val="left" w:pos="1267"/>
          <w:tab w:val="left" w:pos="1742"/>
          <w:tab w:val="left" w:pos="2218"/>
          <w:tab w:val="left" w:pos="2693"/>
        </w:tabs>
        <w:ind w:left="1267" w:right="1260" w:hanging="576"/>
        <w:rPr>
          <w:sz w:val="16"/>
          <w:szCs w:val="16"/>
          <w:highlight w:val="green"/>
        </w:rPr>
      </w:pPr>
      <w:r>
        <w:tab/>
      </w:r>
      <w:r>
        <w:rPr>
          <w:rStyle w:val="FootnoteReference"/>
        </w:rPr>
        <w:footnoteRef/>
      </w:r>
      <w:r>
        <w:tab/>
      </w:r>
      <w:r w:rsidRPr="00A63696">
        <w:t>Principe</w:t>
      </w:r>
      <w:r w:rsidR="00E46619">
        <w:t> </w:t>
      </w:r>
      <w:r w:rsidRPr="00A63696">
        <w:t xml:space="preserve">1 de la Déclaration de la Conférence des Nations Unies sur l’environnement, figurant dans le </w:t>
      </w:r>
      <w:r w:rsidRPr="00A63696">
        <w:rPr>
          <w:i/>
          <w:iCs/>
        </w:rPr>
        <w:t>Rapport de la Conférence des Nations Unies sur l’environnement</w:t>
      </w:r>
      <w:r w:rsidRPr="00A63696">
        <w:t xml:space="preserve">, </w:t>
      </w:r>
      <w:r w:rsidRPr="00A63696">
        <w:rPr>
          <w:i/>
          <w:iCs/>
        </w:rPr>
        <w:t>Stockholm, 5</w:t>
      </w:r>
      <w:r w:rsidR="005F10A0">
        <w:rPr>
          <w:i/>
          <w:iCs/>
        </w:rPr>
        <w:t>-</w:t>
      </w:r>
      <w:r w:rsidRPr="00A63696">
        <w:rPr>
          <w:i/>
          <w:iCs/>
        </w:rPr>
        <w:t>16 juin 1972</w:t>
      </w:r>
      <w:r w:rsidRPr="00A63696">
        <w:t xml:space="preserve"> (</w:t>
      </w:r>
      <w:hyperlink r:id="rId6" w:history="1">
        <w:r w:rsidRPr="00A63696">
          <w:rPr>
            <w:rStyle w:val="Hyperlink"/>
          </w:rPr>
          <w:t>A/CONF.48/14/Rev.1</w:t>
        </w:r>
      </w:hyperlink>
      <w:r w:rsidRPr="00A63696">
        <w:t>).</w:t>
      </w:r>
    </w:p>
  </w:footnote>
  <w:footnote w:id="6">
    <w:p w14:paraId="64D1731E" w14:textId="43421A23" w:rsidR="004B35C7" w:rsidRPr="00CF7AB5" w:rsidRDefault="004B35C7" w:rsidP="00F57BC3">
      <w:pPr>
        <w:pStyle w:val="FootnoteText"/>
        <w:tabs>
          <w:tab w:val="right" w:pos="1195"/>
          <w:tab w:val="left" w:pos="1267"/>
          <w:tab w:val="left" w:pos="1742"/>
          <w:tab w:val="left" w:pos="2218"/>
          <w:tab w:val="left" w:pos="2693"/>
        </w:tabs>
        <w:ind w:left="1267" w:right="1260" w:hanging="576"/>
      </w:pPr>
      <w:r>
        <w:tab/>
      </w:r>
      <w:r>
        <w:rPr>
          <w:rStyle w:val="FootnoteReference"/>
        </w:rPr>
        <w:footnoteRef/>
      </w:r>
      <w:r>
        <w:tab/>
      </w:r>
      <w:r w:rsidRPr="00A63696">
        <w:t xml:space="preserve">L’Accord de Paris conclu au titre de la Convention-cadre des Nations Unies sur les changements climatiques à la Conférence des Parties sur les travaux de sa vingt et unième session, tenue à Paris du 30 novembre au 13 décembre 2015 (voir </w:t>
      </w:r>
      <w:hyperlink r:id="rId7" w:history="1">
        <w:r w:rsidRPr="00A63696">
          <w:rPr>
            <w:rStyle w:val="Hyperlink"/>
          </w:rPr>
          <w:t>FCCC/CP/2015/10/Add.1</w:t>
        </w:r>
      </w:hyperlink>
      <w:r w:rsidRPr="00A63696">
        <w:t xml:space="preserve">, décision 1/CP.21, annexe). </w:t>
      </w:r>
    </w:p>
  </w:footnote>
  <w:footnote w:id="7">
    <w:p w14:paraId="7403FC1F" w14:textId="39A82374" w:rsidR="004B35C7" w:rsidRPr="009F3E01" w:rsidRDefault="004B35C7" w:rsidP="00A63696">
      <w:pPr>
        <w:pStyle w:val="FootnoteText"/>
        <w:tabs>
          <w:tab w:val="right" w:pos="1195"/>
          <w:tab w:val="left" w:pos="1267"/>
          <w:tab w:val="left" w:pos="1742"/>
          <w:tab w:val="left" w:pos="2218"/>
          <w:tab w:val="left" w:pos="2693"/>
        </w:tabs>
        <w:ind w:left="1267" w:right="1260" w:hanging="576"/>
      </w:pPr>
      <w:r>
        <w:tab/>
      </w:r>
      <w:r>
        <w:rPr>
          <w:rStyle w:val="FootnoteReference"/>
        </w:rPr>
        <w:footnoteRef/>
      </w:r>
      <w:r>
        <w:tab/>
      </w:r>
      <w:r w:rsidRPr="00A63696">
        <w:t>Stratégie de gestion de la durabilité dans le système des Nations Unies (2020-2030) (</w:t>
      </w:r>
      <w:hyperlink r:id="rId8" w:history="1">
        <w:r w:rsidRPr="00A63696">
          <w:rPr>
            <w:rStyle w:val="Hyperlink"/>
          </w:rPr>
          <w:t>CEB/2019/3/Add.2</w:t>
        </w:r>
      </w:hyperlink>
      <w:r w:rsidRPr="00A63696">
        <w:t>).</w:t>
      </w:r>
    </w:p>
  </w:footnote>
  <w:footnote w:id="8">
    <w:p w14:paraId="32123F3C" w14:textId="71ABC032" w:rsidR="004B35C7" w:rsidRPr="009F3E01" w:rsidRDefault="007B3C3D" w:rsidP="004B35C7">
      <w:pPr>
        <w:pStyle w:val="FootnoteText"/>
        <w:tabs>
          <w:tab w:val="right" w:pos="1195"/>
          <w:tab w:val="left" w:pos="1267"/>
          <w:tab w:val="left" w:pos="1742"/>
          <w:tab w:val="left" w:pos="2218"/>
          <w:tab w:val="left" w:pos="2693"/>
        </w:tabs>
        <w:ind w:left="1267" w:right="1260" w:hanging="576"/>
      </w:pPr>
      <w:r>
        <w:tab/>
      </w:r>
      <w:r w:rsidRPr="000D7D6D">
        <w:rPr>
          <w:rStyle w:val="FootnoteReference"/>
        </w:rPr>
        <w:footnoteRef/>
      </w:r>
      <w:r>
        <w:tab/>
      </w:r>
      <w:r w:rsidR="004B35C7" w:rsidRPr="00A63696">
        <w:t xml:space="preserve">Voir les résolutions </w:t>
      </w:r>
      <w:hyperlink r:id="rId9" w:history="1">
        <w:r w:rsidR="004B35C7" w:rsidRPr="00A63696">
          <w:rPr>
            <w:rStyle w:val="Hyperlink"/>
          </w:rPr>
          <w:t>70/286</w:t>
        </w:r>
      </w:hyperlink>
      <w:r w:rsidR="004B35C7" w:rsidRPr="00A63696">
        <w:t xml:space="preserve"> et </w:t>
      </w:r>
      <w:hyperlink r:id="rId10" w:history="1">
        <w:r w:rsidR="004B35C7" w:rsidRPr="00A63696">
          <w:rPr>
            <w:rStyle w:val="Hyperlink"/>
          </w:rPr>
          <w:t>72/219</w:t>
        </w:r>
      </w:hyperlink>
      <w:r w:rsidR="004B35C7" w:rsidRPr="00A63696">
        <w:t xml:space="preserve"> ; voir également </w:t>
      </w:r>
      <w:hyperlink r:id="rId11" w:history="1">
        <w:r w:rsidR="004B35C7" w:rsidRPr="00A63696">
          <w:rPr>
            <w:rStyle w:val="Hyperlink"/>
          </w:rPr>
          <w:t>A/72/82</w:t>
        </w:r>
      </w:hyperlink>
      <w:r w:rsidR="004B35C7" w:rsidRPr="00A63696">
        <w:t>.</w:t>
      </w:r>
    </w:p>
  </w:footnote>
  <w:footnote w:id="9">
    <w:p w14:paraId="233F9C1E" w14:textId="6EB35AB5" w:rsidR="004B35C7" w:rsidRPr="008545AD" w:rsidRDefault="007B3C3D" w:rsidP="004B35C7">
      <w:pPr>
        <w:pStyle w:val="FootnoteText"/>
        <w:tabs>
          <w:tab w:val="right" w:pos="1195"/>
          <w:tab w:val="left" w:pos="1267"/>
          <w:tab w:val="left" w:pos="1742"/>
          <w:tab w:val="left" w:pos="2218"/>
          <w:tab w:val="left" w:pos="2693"/>
        </w:tabs>
        <w:ind w:left="1267" w:right="1260" w:hanging="576"/>
      </w:pPr>
      <w:r>
        <w:tab/>
      </w:r>
      <w:r>
        <w:rPr>
          <w:rStyle w:val="FootnoteReference"/>
        </w:rPr>
        <w:footnoteRef/>
      </w:r>
      <w:r>
        <w:tab/>
      </w:r>
      <w:r w:rsidR="004B35C7" w:rsidRPr="00A63696">
        <w:t>Les objectifs liés aux principes ne sont pas hiérarchisés et peuvent s’appliquer à tout aspect du principe concerné.</w:t>
      </w:r>
    </w:p>
  </w:footnote>
  <w:footnote w:id="10">
    <w:p w14:paraId="0F225C4A" w14:textId="41E2FC2B" w:rsidR="004B35C7" w:rsidRPr="00CE5156" w:rsidRDefault="00271EBB" w:rsidP="00A63696">
      <w:pPr>
        <w:pStyle w:val="FootnoteText"/>
        <w:tabs>
          <w:tab w:val="right" w:pos="1195"/>
          <w:tab w:val="left" w:pos="1267"/>
          <w:tab w:val="left" w:pos="1742"/>
          <w:tab w:val="left" w:pos="2218"/>
          <w:tab w:val="left" w:pos="2693"/>
        </w:tabs>
        <w:ind w:left="1267" w:right="1260" w:hanging="576"/>
      </w:pPr>
      <w:r>
        <w:tab/>
      </w:r>
      <w:r>
        <w:rPr>
          <w:rStyle w:val="FootnoteReference"/>
        </w:rPr>
        <w:footnoteRef/>
      </w:r>
      <w:r>
        <w:tab/>
      </w:r>
      <w:r w:rsidR="004B35C7" w:rsidRPr="00A63696">
        <w:t xml:space="preserve">Il s’agit notamment des orientations existantes applicables aux missions des Nations Unies, notamment la politique environnementale applicable aux missions des Nations Unies sur le terrain et la stratégie environnementale pour les missions sur le terrain.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4B35C7" w14:paraId="2DCF7666" w14:textId="77777777" w:rsidTr="00077EC1">
      <w:trPr>
        <w:trHeight w:hRule="exact" w:val="864"/>
      </w:trPr>
      <w:tc>
        <w:tcPr>
          <w:tcW w:w="4920" w:type="dxa"/>
          <w:shd w:val="clear" w:color="auto" w:fill="auto"/>
          <w:vAlign w:val="bottom"/>
        </w:tcPr>
        <w:p w14:paraId="20FC414D" w14:textId="0C8E516D" w:rsidR="004B35C7" w:rsidRPr="00077EC1" w:rsidRDefault="004B35C7" w:rsidP="00077EC1">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365426">
            <w:rPr>
              <w:b/>
              <w:color w:val="000000"/>
            </w:rPr>
            <w:t>ST/SGB/2019/7</w:t>
          </w:r>
          <w:r>
            <w:rPr>
              <w:b/>
              <w:color w:val="000000"/>
            </w:rPr>
            <w:fldChar w:fldCharType="end"/>
          </w:r>
        </w:p>
      </w:tc>
      <w:tc>
        <w:tcPr>
          <w:tcW w:w="4920" w:type="dxa"/>
          <w:shd w:val="clear" w:color="auto" w:fill="auto"/>
          <w:vAlign w:val="bottom"/>
        </w:tcPr>
        <w:p w14:paraId="0861DFB2" w14:textId="77777777" w:rsidR="004B35C7" w:rsidRDefault="004B35C7" w:rsidP="00077EC1">
          <w:pPr>
            <w:pStyle w:val="Header"/>
          </w:pPr>
        </w:p>
      </w:tc>
    </w:tr>
  </w:tbl>
  <w:p w14:paraId="0AFDEC84" w14:textId="77777777" w:rsidR="004B35C7" w:rsidRPr="00077EC1" w:rsidRDefault="004B35C7" w:rsidP="00077EC1">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4B35C7" w14:paraId="484A584A" w14:textId="77777777" w:rsidTr="00077EC1">
      <w:trPr>
        <w:trHeight w:hRule="exact" w:val="864"/>
      </w:trPr>
      <w:tc>
        <w:tcPr>
          <w:tcW w:w="4920" w:type="dxa"/>
          <w:shd w:val="clear" w:color="auto" w:fill="auto"/>
          <w:vAlign w:val="bottom"/>
        </w:tcPr>
        <w:p w14:paraId="76F6CF69" w14:textId="77777777" w:rsidR="004B35C7" w:rsidRDefault="004B35C7" w:rsidP="00077EC1">
          <w:pPr>
            <w:pStyle w:val="Header"/>
          </w:pPr>
        </w:p>
      </w:tc>
      <w:tc>
        <w:tcPr>
          <w:tcW w:w="4920" w:type="dxa"/>
          <w:shd w:val="clear" w:color="auto" w:fill="auto"/>
          <w:vAlign w:val="bottom"/>
        </w:tcPr>
        <w:p w14:paraId="757FF0EB" w14:textId="2373666F" w:rsidR="004B35C7" w:rsidRPr="00077EC1" w:rsidRDefault="004B35C7" w:rsidP="00077EC1">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365426">
            <w:rPr>
              <w:b/>
              <w:color w:val="000000"/>
            </w:rPr>
            <w:t>ST/SGB/2019/7</w:t>
          </w:r>
          <w:r>
            <w:rPr>
              <w:b/>
              <w:color w:val="000000"/>
            </w:rPr>
            <w:fldChar w:fldCharType="end"/>
          </w:r>
        </w:p>
      </w:tc>
    </w:tr>
  </w:tbl>
  <w:p w14:paraId="6729DE88" w14:textId="77777777" w:rsidR="004B35C7" w:rsidRPr="00077EC1" w:rsidRDefault="004B35C7" w:rsidP="00077EC1">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11"/>
    </w:tblGrid>
    <w:tr w:rsidR="004B35C7" w14:paraId="3BB6CC99" w14:textId="77777777" w:rsidTr="00077EC1">
      <w:trPr>
        <w:trHeight w:hRule="exact" w:val="864"/>
      </w:trPr>
      <w:tc>
        <w:tcPr>
          <w:tcW w:w="1267" w:type="dxa"/>
          <w:tcBorders>
            <w:bottom w:val="single" w:sz="4" w:space="0" w:color="auto"/>
          </w:tcBorders>
          <w:shd w:val="clear" w:color="auto" w:fill="auto"/>
          <w:vAlign w:val="bottom"/>
        </w:tcPr>
        <w:p w14:paraId="2E200769" w14:textId="77777777" w:rsidR="004B35C7" w:rsidRDefault="004B35C7" w:rsidP="00077EC1">
          <w:pPr>
            <w:pStyle w:val="Header"/>
            <w:spacing w:after="120"/>
          </w:pPr>
        </w:p>
      </w:tc>
      <w:tc>
        <w:tcPr>
          <w:tcW w:w="2059" w:type="dxa"/>
          <w:tcBorders>
            <w:bottom w:val="single" w:sz="4" w:space="0" w:color="auto"/>
          </w:tcBorders>
          <w:shd w:val="clear" w:color="auto" w:fill="auto"/>
          <w:vAlign w:val="bottom"/>
        </w:tcPr>
        <w:p w14:paraId="1DC907E3" w14:textId="77777777" w:rsidR="004B35C7" w:rsidRPr="00077EC1" w:rsidRDefault="004B35C7" w:rsidP="00077EC1">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14:paraId="4440408B" w14:textId="77777777" w:rsidR="004B35C7" w:rsidRDefault="004B35C7" w:rsidP="00077EC1">
          <w:pPr>
            <w:pStyle w:val="Header"/>
            <w:spacing w:after="120"/>
          </w:pPr>
        </w:p>
      </w:tc>
      <w:tc>
        <w:tcPr>
          <w:tcW w:w="6466" w:type="dxa"/>
          <w:gridSpan w:val="3"/>
          <w:tcBorders>
            <w:bottom w:val="single" w:sz="4" w:space="0" w:color="auto"/>
          </w:tcBorders>
          <w:shd w:val="clear" w:color="auto" w:fill="auto"/>
          <w:vAlign w:val="bottom"/>
        </w:tcPr>
        <w:p w14:paraId="6FF8ED5C" w14:textId="77777777" w:rsidR="004B35C7" w:rsidRPr="00077EC1" w:rsidRDefault="004B35C7" w:rsidP="00077EC1">
          <w:pPr>
            <w:spacing w:after="80" w:line="240" w:lineRule="auto"/>
            <w:jc w:val="right"/>
            <w:rPr>
              <w:position w:val="-4"/>
            </w:rPr>
          </w:pPr>
          <w:r>
            <w:rPr>
              <w:position w:val="-4"/>
              <w:sz w:val="40"/>
            </w:rPr>
            <w:t>ST</w:t>
          </w:r>
          <w:r>
            <w:rPr>
              <w:position w:val="-4"/>
            </w:rPr>
            <w:t>/SGB/2019/7</w:t>
          </w:r>
        </w:p>
      </w:tc>
    </w:tr>
    <w:tr w:rsidR="004B35C7" w:rsidRPr="00077EC1" w14:paraId="66F45BAD" w14:textId="77777777" w:rsidTr="00077EC1">
      <w:trPr>
        <w:trHeight w:hRule="exact" w:val="2880"/>
      </w:trPr>
      <w:tc>
        <w:tcPr>
          <w:tcW w:w="1267" w:type="dxa"/>
          <w:tcBorders>
            <w:top w:val="single" w:sz="4" w:space="0" w:color="auto"/>
            <w:bottom w:val="single" w:sz="12" w:space="0" w:color="auto"/>
          </w:tcBorders>
          <w:shd w:val="clear" w:color="auto" w:fill="auto"/>
        </w:tcPr>
        <w:p w14:paraId="6ED3CBE4" w14:textId="77777777" w:rsidR="004B35C7" w:rsidRPr="00077EC1" w:rsidRDefault="004B35C7" w:rsidP="00077EC1">
          <w:pPr>
            <w:pStyle w:val="Header"/>
            <w:spacing w:before="120" w:line="240" w:lineRule="auto"/>
            <w:ind w:left="-72"/>
            <w:jc w:val="center"/>
          </w:pPr>
          <w:r>
            <w:t xml:space="preserve">  </w:t>
          </w:r>
          <w:r>
            <w:rPr>
              <w:noProof/>
            </w:rPr>
            <w:drawing>
              <wp:inline distT="0" distB="0" distL="0" distR="0" wp14:anchorId="63A7C04E" wp14:editId="35895BDC">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4E41E084" w14:textId="77777777" w:rsidR="004B35C7" w:rsidRPr="00077EC1" w:rsidRDefault="004B35C7" w:rsidP="00077EC1">
          <w:pPr>
            <w:pStyle w:val="XLarge"/>
            <w:spacing w:before="109"/>
          </w:pPr>
          <w:r>
            <w:t>Secrétariat</w:t>
          </w:r>
        </w:p>
      </w:tc>
      <w:tc>
        <w:tcPr>
          <w:tcW w:w="245" w:type="dxa"/>
          <w:tcBorders>
            <w:top w:val="single" w:sz="4" w:space="0" w:color="auto"/>
            <w:bottom w:val="single" w:sz="12" w:space="0" w:color="auto"/>
          </w:tcBorders>
          <w:shd w:val="clear" w:color="auto" w:fill="auto"/>
        </w:tcPr>
        <w:p w14:paraId="504EF700" w14:textId="77777777" w:rsidR="004B35C7" w:rsidRPr="00077EC1" w:rsidRDefault="004B35C7" w:rsidP="00077EC1">
          <w:pPr>
            <w:pStyle w:val="Header"/>
            <w:spacing w:before="109"/>
          </w:pPr>
        </w:p>
      </w:tc>
      <w:tc>
        <w:tcPr>
          <w:tcW w:w="3110" w:type="dxa"/>
          <w:tcBorders>
            <w:top w:val="single" w:sz="4" w:space="0" w:color="auto"/>
            <w:bottom w:val="single" w:sz="12" w:space="0" w:color="auto"/>
          </w:tcBorders>
          <w:shd w:val="clear" w:color="auto" w:fill="auto"/>
        </w:tcPr>
        <w:p w14:paraId="0066AD0C" w14:textId="43007208" w:rsidR="004B35C7" w:rsidRDefault="004B35C7" w:rsidP="00077EC1">
          <w:pPr>
            <w:pStyle w:val="Publication"/>
            <w:spacing w:before="400"/>
            <w:rPr>
              <w:color w:val="000000"/>
            </w:rPr>
          </w:pPr>
          <w:r>
            <w:rPr>
              <w:color w:val="000000"/>
            </w:rPr>
            <w:t>4 </w:t>
          </w:r>
          <w:r w:rsidRPr="007E0ADB">
            <w:rPr>
              <w:color w:val="000000"/>
              <w:lang w:val="fr-FR"/>
            </w:rPr>
            <w:t>septembre</w:t>
          </w:r>
          <w:r>
            <w:rPr>
              <w:color w:val="000000"/>
            </w:rPr>
            <w:t xml:space="preserve"> 2019</w:t>
          </w:r>
        </w:p>
        <w:p w14:paraId="4482BF5E" w14:textId="2BB70147" w:rsidR="004B35C7" w:rsidRPr="00077EC1" w:rsidRDefault="004B35C7" w:rsidP="00077EC1">
          <w:pPr>
            <w:pStyle w:val="Original"/>
            <w:rPr>
              <w:color w:val="000000"/>
            </w:rPr>
          </w:pPr>
        </w:p>
      </w:tc>
    </w:tr>
  </w:tbl>
  <w:p w14:paraId="476DF694" w14:textId="77777777" w:rsidR="004B35C7" w:rsidRPr="00077EC1" w:rsidRDefault="004B35C7" w:rsidP="00077EC1">
    <w:pPr>
      <w:pStyle w:val="Header"/>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D25"/>
    <w:multiLevelType w:val="hybridMultilevel"/>
    <w:tmpl w:val="EFB8ED28"/>
    <w:lvl w:ilvl="0" w:tplc="06BE048C">
      <w:start w:val="1"/>
      <w:numFmt w:val="decimal"/>
      <w:lvlText w:val="%1."/>
      <w:lvlJc w:val="left"/>
      <w:pPr>
        <w:ind w:left="1747" w:hanging="480"/>
      </w:pPr>
      <w:rPr>
        <w:rFonts w:hint="default"/>
        <w:b w:val="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 w15:restartNumberingAfterBreak="0">
    <w:nsid w:val="03230230"/>
    <w:multiLevelType w:val="singleLevel"/>
    <w:tmpl w:val="02A257AA"/>
    <w:lvl w:ilvl="0">
      <w:start w:val="1"/>
      <w:numFmt w:val="decimal"/>
      <w:lvlRestart w:val="0"/>
      <w:lvlText w:val="%1."/>
      <w:lvlJc w:val="left"/>
      <w:pPr>
        <w:tabs>
          <w:tab w:val="num" w:pos="475"/>
        </w:tabs>
        <w:ind w:left="0" w:firstLine="0"/>
      </w:pPr>
      <w:rPr>
        <w:b w:val="0"/>
        <w:bCs/>
        <w:w w:val="100"/>
      </w:rPr>
    </w:lvl>
  </w:abstractNum>
  <w:abstractNum w:abstractNumId="2" w15:restartNumberingAfterBreak="0">
    <w:nsid w:val="04015290"/>
    <w:multiLevelType w:val="hybridMultilevel"/>
    <w:tmpl w:val="E3ACFF06"/>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3" w15:restartNumberingAfterBreak="0">
    <w:nsid w:val="12D06B23"/>
    <w:multiLevelType w:val="multilevel"/>
    <w:tmpl w:val="F78C5AAA"/>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15:restartNumberingAfterBreak="0">
    <w:nsid w:val="172F270D"/>
    <w:multiLevelType w:val="hybridMultilevel"/>
    <w:tmpl w:val="47A2628E"/>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A19EB"/>
    <w:multiLevelType w:val="hybridMultilevel"/>
    <w:tmpl w:val="A66ACEE8"/>
    <w:lvl w:ilvl="0" w:tplc="28D6065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40547"/>
    <w:multiLevelType w:val="hybridMultilevel"/>
    <w:tmpl w:val="413C2A34"/>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093C68"/>
    <w:multiLevelType w:val="multilevel"/>
    <w:tmpl w:val="74CE8150"/>
    <w:lvl w:ilvl="0">
      <w:start w:val="1"/>
      <w:numFmt w:val="upperRoman"/>
      <w:lvlText w:val="%1."/>
      <w:lvlJc w:val="left"/>
      <w:pPr>
        <w:ind w:left="1080" w:hanging="720"/>
      </w:pPr>
      <w:rPr>
        <w:rFonts w:hint="default"/>
      </w:rPr>
    </w:lvl>
    <w:lvl w:ilvl="1">
      <w:start w:val="1"/>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1"/>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1492406"/>
    <w:multiLevelType w:val="hybridMultilevel"/>
    <w:tmpl w:val="AA6A4A1A"/>
    <w:lvl w:ilvl="0" w:tplc="36689282">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31D90"/>
    <w:multiLevelType w:val="hybridMultilevel"/>
    <w:tmpl w:val="FC2E131A"/>
    <w:lvl w:ilvl="0" w:tplc="1F9038BA">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D275A"/>
    <w:multiLevelType w:val="singleLevel"/>
    <w:tmpl w:val="1A8E0C3C"/>
    <w:lvl w:ilvl="0">
      <w:start w:val="1"/>
      <w:numFmt w:val="decimal"/>
      <w:lvlRestart w:val="0"/>
      <w:lvlText w:val="%1."/>
      <w:lvlJc w:val="left"/>
      <w:pPr>
        <w:tabs>
          <w:tab w:val="num" w:pos="1742"/>
        </w:tabs>
        <w:ind w:left="1267" w:firstLine="0"/>
      </w:pPr>
      <w:rPr>
        <w:w w:val="100"/>
      </w:rPr>
    </w:lvl>
  </w:abstractNum>
  <w:abstractNum w:abstractNumId="11" w15:restartNumberingAfterBreak="0">
    <w:nsid w:val="60C2383C"/>
    <w:multiLevelType w:val="hybridMultilevel"/>
    <w:tmpl w:val="EF0C53EE"/>
    <w:lvl w:ilvl="0" w:tplc="2A1A9140">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A85783"/>
    <w:multiLevelType w:val="hybridMultilevel"/>
    <w:tmpl w:val="27320FF8"/>
    <w:lvl w:ilvl="0" w:tplc="FF2E2F9C">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3"/>
  </w:num>
  <w:num w:numId="5">
    <w:abstractNumId w:val="4"/>
  </w:num>
  <w:num w:numId="6">
    <w:abstractNumId w:val="6"/>
  </w:num>
  <w:num w:numId="7">
    <w:abstractNumId w:val="2"/>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6"/>
  </w:num>
  <w:num w:numId="19">
    <w:abstractNumId w:val="2"/>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7"/>
  </w:num>
  <w:num w:numId="30">
    <w:abstractNumId w:val="11"/>
  </w:num>
  <w:num w:numId="31">
    <w:abstractNumId w:val="5"/>
  </w:num>
  <w:num w:numId="32">
    <w:abstractNumId w:val="12"/>
  </w:num>
  <w:num w:numId="33">
    <w:abstractNumId w:val="9"/>
  </w:num>
  <w:num w:numId="34">
    <w:abstractNumId w:val="8"/>
  </w:num>
  <w:num w:numId="35">
    <w:abstractNumId w:val="1"/>
  </w:num>
  <w:num w:numId="36">
    <w:abstractNumId w:val="0"/>
  </w:num>
  <w:num w:numId="3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defaultTabStop w:val="475"/>
  <w:hyphenationZone w:val="425"/>
  <w:doNotHyphenateCaps/>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915224*"/>
    <w:docVar w:name="CreationDt" w:val="12/09/2019 13:15:07"/>
    <w:docVar w:name="DocCategory" w:val="Doc"/>
    <w:docVar w:name="DocType" w:val="Final"/>
    <w:docVar w:name="DutyStation" w:val="New York"/>
    <w:docVar w:name="FooterJN" w:val="19-15224"/>
    <w:docVar w:name="jobn" w:val="19-15224 (F)"/>
    <w:docVar w:name="jobnDT" w:val="19-15224 (F)   120919"/>
    <w:docVar w:name="jobnDTDT" w:val="19-15224 (F)   120919   120919"/>
    <w:docVar w:name="JobNo" w:val="1915224F"/>
    <w:docVar w:name="JobNo2" w:val="1927120F"/>
    <w:docVar w:name="LocalDrive" w:val="0"/>
    <w:docVar w:name="OandT" w:val="Ago"/>
    <w:docVar w:name="sss1" w:val="ST/SGB/2019/7"/>
    <w:docVar w:name="sss2" w:val="-"/>
    <w:docVar w:name="Symbol1" w:val="ST/SGB/2019/7"/>
    <w:docVar w:name="Symbol2" w:val="-"/>
  </w:docVars>
  <w:rsids>
    <w:rsidRoot w:val="00C6747C"/>
    <w:rsid w:val="00002584"/>
    <w:rsid w:val="00021C9D"/>
    <w:rsid w:val="00027942"/>
    <w:rsid w:val="00063668"/>
    <w:rsid w:val="0006491F"/>
    <w:rsid w:val="00071D43"/>
    <w:rsid w:val="00077EC1"/>
    <w:rsid w:val="00082144"/>
    <w:rsid w:val="000E57E1"/>
    <w:rsid w:val="00101B18"/>
    <w:rsid w:val="00122A56"/>
    <w:rsid w:val="00134FEE"/>
    <w:rsid w:val="00146C6A"/>
    <w:rsid w:val="00166A0D"/>
    <w:rsid w:val="001E4B50"/>
    <w:rsid w:val="00245107"/>
    <w:rsid w:val="00245FDC"/>
    <w:rsid w:val="002478A0"/>
    <w:rsid w:val="00247A53"/>
    <w:rsid w:val="00247D6D"/>
    <w:rsid w:val="00271EBB"/>
    <w:rsid w:val="002A5E20"/>
    <w:rsid w:val="002C6287"/>
    <w:rsid w:val="0030765E"/>
    <w:rsid w:val="00365426"/>
    <w:rsid w:val="00366D21"/>
    <w:rsid w:val="003A4E6E"/>
    <w:rsid w:val="003A675A"/>
    <w:rsid w:val="003F61E1"/>
    <w:rsid w:val="00410BE8"/>
    <w:rsid w:val="00440C93"/>
    <w:rsid w:val="00480B84"/>
    <w:rsid w:val="004B35C7"/>
    <w:rsid w:val="004B64F9"/>
    <w:rsid w:val="004C1A25"/>
    <w:rsid w:val="004F509E"/>
    <w:rsid w:val="00515991"/>
    <w:rsid w:val="005225EC"/>
    <w:rsid w:val="00525097"/>
    <w:rsid w:val="005509B6"/>
    <w:rsid w:val="00577A36"/>
    <w:rsid w:val="00580C12"/>
    <w:rsid w:val="00580CF2"/>
    <w:rsid w:val="005B398E"/>
    <w:rsid w:val="005C03A7"/>
    <w:rsid w:val="005C5330"/>
    <w:rsid w:val="005F10A0"/>
    <w:rsid w:val="005F1F5F"/>
    <w:rsid w:val="00632793"/>
    <w:rsid w:val="00632C10"/>
    <w:rsid w:val="006757F1"/>
    <w:rsid w:val="00690698"/>
    <w:rsid w:val="006E4A4B"/>
    <w:rsid w:val="00703106"/>
    <w:rsid w:val="007459AE"/>
    <w:rsid w:val="007531A5"/>
    <w:rsid w:val="00771C9E"/>
    <w:rsid w:val="007B3C3D"/>
    <w:rsid w:val="007E0ADB"/>
    <w:rsid w:val="0081093B"/>
    <w:rsid w:val="0082045E"/>
    <w:rsid w:val="008222A3"/>
    <w:rsid w:val="00841A17"/>
    <w:rsid w:val="00886CF2"/>
    <w:rsid w:val="008F30C5"/>
    <w:rsid w:val="008F3462"/>
    <w:rsid w:val="00926C6B"/>
    <w:rsid w:val="00935932"/>
    <w:rsid w:val="009547DC"/>
    <w:rsid w:val="00993CB7"/>
    <w:rsid w:val="00994877"/>
    <w:rsid w:val="009D0EE3"/>
    <w:rsid w:val="009F40B9"/>
    <w:rsid w:val="00A2494D"/>
    <w:rsid w:val="00A536A1"/>
    <w:rsid w:val="00A63696"/>
    <w:rsid w:val="00AA0DBD"/>
    <w:rsid w:val="00AB0B7D"/>
    <w:rsid w:val="00AD5F2F"/>
    <w:rsid w:val="00AF4BD5"/>
    <w:rsid w:val="00B858D5"/>
    <w:rsid w:val="00BA5794"/>
    <w:rsid w:val="00BD479B"/>
    <w:rsid w:val="00BD732E"/>
    <w:rsid w:val="00C053EB"/>
    <w:rsid w:val="00C07C53"/>
    <w:rsid w:val="00C6747C"/>
    <w:rsid w:val="00CB06FB"/>
    <w:rsid w:val="00CB63C5"/>
    <w:rsid w:val="00CC4E9F"/>
    <w:rsid w:val="00D30EED"/>
    <w:rsid w:val="00D337FE"/>
    <w:rsid w:val="00D444E9"/>
    <w:rsid w:val="00D7318A"/>
    <w:rsid w:val="00D828F5"/>
    <w:rsid w:val="00DA3925"/>
    <w:rsid w:val="00DC7881"/>
    <w:rsid w:val="00DF49D6"/>
    <w:rsid w:val="00E126C3"/>
    <w:rsid w:val="00E30494"/>
    <w:rsid w:val="00E343A6"/>
    <w:rsid w:val="00E443AC"/>
    <w:rsid w:val="00E46619"/>
    <w:rsid w:val="00E47A1E"/>
    <w:rsid w:val="00E7105F"/>
    <w:rsid w:val="00EE37EC"/>
    <w:rsid w:val="00EF2DFA"/>
    <w:rsid w:val="00EF7C8C"/>
    <w:rsid w:val="00F0331C"/>
    <w:rsid w:val="00F313F6"/>
    <w:rsid w:val="00F377EF"/>
    <w:rsid w:val="00F5012D"/>
    <w:rsid w:val="00F57BC3"/>
    <w:rsid w:val="00F73093"/>
    <w:rsid w:val="00FA3D05"/>
    <w:rsid w:val="00FA5CC9"/>
    <w:rsid w:val="00FB0A2C"/>
    <w:rsid w:val="00FC59F1"/>
    <w:rsid w:val="00FE7F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10C47A"/>
  <w15:chartTrackingRefBased/>
  <w15:docId w15:val="{FA444CCD-60A1-4C06-AA67-372964EC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C12"/>
    <w:pPr>
      <w:spacing w:after="0" w:line="240" w:lineRule="exact"/>
    </w:pPr>
    <w:rPr>
      <w:rFonts w:ascii="Times New Roman" w:eastAsiaTheme="minorHAnsi" w:hAnsi="Times New Roman" w:cs="Times New Roman"/>
      <w:spacing w:val="4"/>
      <w:w w:val="103"/>
      <w:kern w:val="14"/>
      <w:sz w:val="20"/>
      <w:lang w:val="fr-CA" w:eastAsia="en-US"/>
    </w:rPr>
  </w:style>
  <w:style w:type="paragraph" w:styleId="Heading1">
    <w:name w:val="heading 1"/>
    <w:basedOn w:val="Normal"/>
    <w:next w:val="Normal"/>
    <w:link w:val="Heading1Char"/>
    <w:uiPriority w:val="9"/>
    <w:qFormat/>
    <w:rsid w:val="00580C12"/>
    <w:pPr>
      <w:numPr>
        <w:numId w:val="28"/>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580C12"/>
    <w:pPr>
      <w:numPr>
        <w:ilvl w:val="1"/>
        <w:numId w:val="28"/>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580C12"/>
    <w:pPr>
      <w:numPr>
        <w:ilvl w:val="2"/>
        <w:numId w:val="28"/>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580C12"/>
    <w:pPr>
      <w:keepNext/>
      <w:keepLines/>
      <w:numPr>
        <w:ilvl w:val="3"/>
        <w:numId w:val="28"/>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580C12"/>
    <w:pPr>
      <w:keepNext/>
      <w:keepLines/>
      <w:numPr>
        <w:ilvl w:val="4"/>
        <w:numId w:val="28"/>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580C12"/>
    <w:pPr>
      <w:keepNext/>
      <w:keepLines/>
      <w:numPr>
        <w:ilvl w:val="5"/>
        <w:numId w:val="28"/>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80C12"/>
    <w:pPr>
      <w:keepNext/>
      <w:keepLines/>
      <w:numPr>
        <w:ilvl w:val="6"/>
        <w:numId w:val="28"/>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80C12"/>
    <w:pPr>
      <w:keepNext/>
      <w:keepLines/>
      <w:numPr>
        <w:ilvl w:val="7"/>
        <w:numId w:val="28"/>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80C12"/>
    <w:pPr>
      <w:keepNext/>
      <w:keepLines/>
      <w:numPr>
        <w:ilvl w:val="8"/>
        <w:numId w:val="28"/>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580C12"/>
    <w:pPr>
      <w:keepNext/>
      <w:keepLines/>
      <w:suppressAutoHyphens/>
      <w:spacing w:line="270" w:lineRule="exact"/>
      <w:outlineLvl w:val="0"/>
    </w:pPr>
    <w:rPr>
      <w:b/>
      <w:sz w:val="24"/>
    </w:rPr>
  </w:style>
  <w:style w:type="paragraph" w:customStyle="1" w:styleId="HCH">
    <w:name w:val="_ H _CH"/>
    <w:basedOn w:val="H1"/>
    <w:next w:val="SingleTxt"/>
    <w:qFormat/>
    <w:rsid w:val="00580C12"/>
    <w:pPr>
      <w:spacing w:line="300" w:lineRule="exact"/>
    </w:pPr>
    <w:rPr>
      <w:spacing w:val="-2"/>
      <w:sz w:val="28"/>
    </w:rPr>
  </w:style>
  <w:style w:type="paragraph" w:customStyle="1" w:styleId="HM">
    <w:name w:val="_ H __M"/>
    <w:basedOn w:val="HCH"/>
    <w:next w:val="Normal"/>
    <w:qFormat/>
    <w:rsid w:val="00580C12"/>
    <w:pPr>
      <w:spacing w:line="360" w:lineRule="exact"/>
    </w:pPr>
    <w:rPr>
      <w:spacing w:val="-3"/>
      <w:w w:val="99"/>
      <w:sz w:val="34"/>
    </w:rPr>
  </w:style>
  <w:style w:type="paragraph" w:customStyle="1" w:styleId="H23">
    <w:name w:val="_ H_2/3"/>
    <w:basedOn w:val="H1"/>
    <w:next w:val="SingleTxt"/>
    <w:qFormat/>
    <w:rsid w:val="00580C12"/>
    <w:pPr>
      <w:spacing w:line="240" w:lineRule="exact"/>
      <w:outlineLvl w:val="1"/>
    </w:pPr>
    <w:rPr>
      <w:spacing w:val="2"/>
      <w:sz w:val="20"/>
    </w:rPr>
  </w:style>
  <w:style w:type="paragraph" w:customStyle="1" w:styleId="H4">
    <w:name w:val="_ H_4"/>
    <w:basedOn w:val="Normal"/>
    <w:next w:val="SingleTxt"/>
    <w:qFormat/>
    <w:rsid w:val="00580C12"/>
    <w:pPr>
      <w:keepNext/>
      <w:keepLines/>
      <w:tabs>
        <w:tab w:val="right" w:pos="360"/>
      </w:tabs>
      <w:suppressAutoHyphens/>
      <w:outlineLvl w:val="3"/>
    </w:pPr>
    <w:rPr>
      <w:i/>
      <w:spacing w:val="3"/>
    </w:rPr>
  </w:style>
  <w:style w:type="paragraph" w:customStyle="1" w:styleId="H56">
    <w:name w:val="_ H_5/6"/>
    <w:basedOn w:val="Normal"/>
    <w:next w:val="Normal"/>
    <w:qFormat/>
    <w:rsid w:val="00580C12"/>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580C12"/>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580C12"/>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580C12"/>
    <w:pPr>
      <w:spacing w:line="540" w:lineRule="exact"/>
    </w:pPr>
    <w:rPr>
      <w:spacing w:val="-8"/>
      <w:w w:val="96"/>
      <w:sz w:val="57"/>
    </w:rPr>
  </w:style>
  <w:style w:type="paragraph" w:customStyle="1" w:styleId="SS">
    <w:name w:val="__S_S"/>
    <w:basedOn w:val="HCH"/>
    <w:next w:val="Normal"/>
    <w:qFormat/>
    <w:rsid w:val="00580C12"/>
    <w:pPr>
      <w:ind w:left="1267" w:right="1267"/>
    </w:pPr>
  </w:style>
  <w:style w:type="paragraph" w:customStyle="1" w:styleId="SingleTxt">
    <w:name w:val="__Single Txt"/>
    <w:basedOn w:val="Normal"/>
    <w:qFormat/>
    <w:rsid w:val="00580C1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style>
  <w:style w:type="paragraph" w:customStyle="1" w:styleId="AgendaItemNormal">
    <w:name w:val="Agenda_Item_Normal"/>
    <w:next w:val="Normal"/>
    <w:autoRedefine/>
    <w:qFormat/>
    <w:rsid w:val="00580C12"/>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TitleH1">
    <w:name w:val="Title_H1"/>
    <w:basedOn w:val="Normal"/>
    <w:next w:val="Normal"/>
    <w:qFormat/>
    <w:rsid w:val="00580C1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AgendaTitleH2">
    <w:name w:val="Agenda_Title_H2"/>
    <w:basedOn w:val="H1"/>
    <w:next w:val="Normal"/>
    <w:qFormat/>
    <w:rsid w:val="00580C12"/>
    <w:pPr>
      <w:spacing w:line="240" w:lineRule="exact"/>
      <w:ind w:right="5040"/>
      <w:outlineLvl w:val="1"/>
    </w:pPr>
    <w:rPr>
      <w:spacing w:val="2"/>
      <w:sz w:val="20"/>
    </w:rPr>
  </w:style>
  <w:style w:type="paragraph" w:styleId="BalloonText">
    <w:name w:val="Balloon Text"/>
    <w:basedOn w:val="Normal"/>
    <w:link w:val="BalloonTextChar"/>
    <w:uiPriority w:val="99"/>
    <w:semiHidden/>
    <w:unhideWhenUsed/>
    <w:rsid w:val="00580C1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80C12"/>
    <w:rPr>
      <w:rFonts w:ascii="Tahoma" w:eastAsiaTheme="minorHAnsi" w:hAnsi="Tahoma" w:cs="Tahoma"/>
      <w:spacing w:val="4"/>
      <w:w w:val="103"/>
      <w:kern w:val="14"/>
      <w:sz w:val="16"/>
      <w:szCs w:val="16"/>
      <w:lang w:val="fr-CA" w:eastAsia="en-US"/>
    </w:rPr>
  </w:style>
  <w:style w:type="paragraph" w:customStyle="1" w:styleId="Bullet1">
    <w:name w:val="Bullet 1"/>
    <w:basedOn w:val="Normal"/>
    <w:qFormat/>
    <w:rsid w:val="00580C12"/>
    <w:pPr>
      <w:numPr>
        <w:numId w:val="17"/>
      </w:numPr>
      <w:spacing w:after="120"/>
      <w:ind w:right="1267"/>
      <w:jc w:val="both"/>
    </w:pPr>
  </w:style>
  <w:style w:type="paragraph" w:customStyle="1" w:styleId="Bullet2">
    <w:name w:val="Bullet 2"/>
    <w:basedOn w:val="Normal"/>
    <w:qFormat/>
    <w:rsid w:val="00580C12"/>
    <w:pPr>
      <w:numPr>
        <w:numId w:val="18"/>
      </w:numPr>
      <w:spacing w:after="120"/>
      <w:ind w:right="1264"/>
      <w:jc w:val="both"/>
    </w:pPr>
  </w:style>
  <w:style w:type="paragraph" w:customStyle="1" w:styleId="Bullet3">
    <w:name w:val="Bullet 3"/>
    <w:basedOn w:val="SingleTxt"/>
    <w:qFormat/>
    <w:rsid w:val="00580C12"/>
    <w:pPr>
      <w:numPr>
        <w:numId w:val="1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580C12"/>
    <w:pPr>
      <w:spacing w:before="240" w:after="0" w:line="240" w:lineRule="auto"/>
    </w:pPr>
    <w:rPr>
      <w:rFonts w:ascii="Times New Roman" w:eastAsiaTheme="minorHAnsi" w:hAnsi="Times New Roman" w:cs="Times New Roman"/>
      <w:spacing w:val="4"/>
      <w:w w:val="103"/>
      <w:kern w:val="14"/>
      <w:sz w:val="20"/>
      <w:lang w:val="en-US" w:eastAsia="en-US"/>
    </w:rPr>
  </w:style>
  <w:style w:type="character" w:styleId="EndnoteReference">
    <w:name w:val="endnote reference"/>
    <w:basedOn w:val="DefaultParagraphFont"/>
    <w:uiPriority w:val="99"/>
    <w:semiHidden/>
    <w:rsid w:val="00580C12"/>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580C12"/>
    <w:pPr>
      <w:spacing w:line="210" w:lineRule="exact"/>
    </w:pPr>
    <w:rPr>
      <w:sz w:val="17"/>
      <w:szCs w:val="20"/>
    </w:rPr>
  </w:style>
  <w:style w:type="character" w:customStyle="1" w:styleId="EndnoteTextChar">
    <w:name w:val="Endnote Text Char"/>
    <w:link w:val="EndnoteText"/>
    <w:uiPriority w:val="99"/>
    <w:semiHidden/>
    <w:rsid w:val="00580C12"/>
    <w:rPr>
      <w:rFonts w:ascii="Times New Roman" w:eastAsiaTheme="minorHAnsi" w:hAnsi="Times New Roman" w:cs="Times New Roman"/>
      <w:spacing w:val="4"/>
      <w:w w:val="103"/>
      <w:kern w:val="14"/>
      <w:sz w:val="17"/>
      <w:szCs w:val="20"/>
      <w:lang w:val="fr-CA" w:eastAsia="en-US"/>
    </w:rPr>
  </w:style>
  <w:style w:type="paragraph" w:styleId="Footer">
    <w:name w:val="footer"/>
    <w:link w:val="FooterChar"/>
    <w:uiPriority w:val="99"/>
    <w:qFormat/>
    <w:rsid w:val="00580C12"/>
    <w:pPr>
      <w:tabs>
        <w:tab w:val="center" w:pos="4320"/>
        <w:tab w:val="right" w:pos="8640"/>
      </w:tabs>
      <w:spacing w:after="0" w:line="210" w:lineRule="exact"/>
    </w:pPr>
    <w:rPr>
      <w:rFonts w:ascii="Times New Roman" w:eastAsiaTheme="minorHAnsi" w:hAnsi="Times New Roman" w:cs="Times New Roman"/>
      <w:b/>
      <w:spacing w:val="3"/>
      <w:w w:val="105"/>
      <w:sz w:val="17"/>
      <w:lang w:val="en-US" w:eastAsia="en-US"/>
    </w:rPr>
  </w:style>
  <w:style w:type="character" w:customStyle="1" w:styleId="FooterChar">
    <w:name w:val="Footer Char"/>
    <w:link w:val="Footer"/>
    <w:uiPriority w:val="99"/>
    <w:rsid w:val="00580C12"/>
    <w:rPr>
      <w:rFonts w:ascii="Times New Roman" w:eastAsiaTheme="minorHAnsi" w:hAnsi="Times New Roman" w:cs="Times New Roman"/>
      <w:b/>
      <w:spacing w:val="3"/>
      <w:w w:val="105"/>
      <w:sz w:val="17"/>
      <w:lang w:val="en-US" w:eastAsia="en-US"/>
    </w:rPr>
  </w:style>
  <w:style w:type="character" w:styleId="FootnoteReference">
    <w:name w:val="footnote reference"/>
    <w:uiPriority w:val="99"/>
    <w:semiHidden/>
    <w:rsid w:val="00580C12"/>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580C12"/>
    <w:pPr>
      <w:spacing w:line="210" w:lineRule="exact"/>
    </w:pPr>
    <w:rPr>
      <w:sz w:val="17"/>
      <w:szCs w:val="20"/>
    </w:rPr>
  </w:style>
  <w:style w:type="character" w:customStyle="1" w:styleId="FootnoteTextChar">
    <w:name w:val="Footnote Text Char"/>
    <w:link w:val="FootnoteText"/>
    <w:uiPriority w:val="99"/>
    <w:rsid w:val="00580C12"/>
    <w:rPr>
      <w:rFonts w:ascii="Times New Roman" w:eastAsiaTheme="minorHAnsi" w:hAnsi="Times New Roman" w:cs="Times New Roman"/>
      <w:spacing w:val="4"/>
      <w:w w:val="103"/>
      <w:kern w:val="14"/>
      <w:sz w:val="17"/>
      <w:szCs w:val="20"/>
      <w:lang w:val="fr-CA" w:eastAsia="en-US"/>
    </w:rPr>
  </w:style>
  <w:style w:type="paragraph" w:styleId="Header">
    <w:name w:val="header"/>
    <w:link w:val="HeaderChar"/>
    <w:uiPriority w:val="99"/>
    <w:rsid w:val="00580C12"/>
    <w:pPr>
      <w:tabs>
        <w:tab w:val="center" w:pos="4320"/>
        <w:tab w:val="right" w:pos="8640"/>
      </w:tabs>
      <w:spacing w:after="0" w:line="210" w:lineRule="exact"/>
    </w:pPr>
    <w:rPr>
      <w:rFonts w:ascii="Times New Roman" w:eastAsiaTheme="minorHAnsi" w:hAnsi="Times New Roman" w:cs="Times New Roman"/>
      <w:spacing w:val="3"/>
      <w:w w:val="105"/>
      <w:sz w:val="17"/>
      <w:lang w:val="en-US" w:eastAsia="en-US"/>
    </w:rPr>
  </w:style>
  <w:style w:type="character" w:customStyle="1" w:styleId="HeaderChar">
    <w:name w:val="Header Char"/>
    <w:link w:val="Header"/>
    <w:uiPriority w:val="99"/>
    <w:rsid w:val="00580C12"/>
    <w:rPr>
      <w:rFonts w:ascii="Times New Roman" w:eastAsiaTheme="minorHAnsi" w:hAnsi="Times New Roman" w:cs="Times New Roman"/>
      <w:spacing w:val="3"/>
      <w:w w:val="105"/>
      <w:sz w:val="17"/>
      <w:lang w:val="en-US" w:eastAsia="en-US"/>
    </w:rPr>
  </w:style>
  <w:style w:type="character" w:customStyle="1" w:styleId="Heading1Char">
    <w:name w:val="Heading 1 Char"/>
    <w:link w:val="Heading1"/>
    <w:uiPriority w:val="9"/>
    <w:rsid w:val="00580C12"/>
    <w:rPr>
      <w:rFonts w:ascii="Arial" w:eastAsia="Times New Roman" w:hAnsi="Arial" w:cs="Times New Roman"/>
      <w:b/>
      <w:bCs/>
      <w:color w:val="365F91"/>
      <w:spacing w:val="4"/>
      <w:w w:val="103"/>
      <w:kern w:val="32"/>
      <w:sz w:val="32"/>
      <w:szCs w:val="28"/>
      <w:lang w:val="fr-CA" w:eastAsia="en-US"/>
    </w:rPr>
  </w:style>
  <w:style w:type="character" w:customStyle="1" w:styleId="Heading2Char">
    <w:name w:val="Heading 2 Char"/>
    <w:link w:val="Heading2"/>
    <w:uiPriority w:val="9"/>
    <w:rsid w:val="00580C12"/>
    <w:rPr>
      <w:rFonts w:ascii="Arial" w:eastAsia="Times New Roman" w:hAnsi="Arial" w:cs="Times New Roman"/>
      <w:b/>
      <w:bCs/>
      <w:i/>
      <w:color w:val="4F81BD"/>
      <w:spacing w:val="4"/>
      <w:w w:val="103"/>
      <w:kern w:val="14"/>
      <w:sz w:val="28"/>
      <w:szCs w:val="26"/>
      <w:lang w:val="fr-CA" w:eastAsia="en-US"/>
    </w:rPr>
  </w:style>
  <w:style w:type="character" w:customStyle="1" w:styleId="Heading3Char">
    <w:name w:val="Heading 3 Char"/>
    <w:link w:val="Heading3"/>
    <w:uiPriority w:val="9"/>
    <w:rsid w:val="00580C12"/>
    <w:rPr>
      <w:rFonts w:ascii="Arial" w:eastAsia="Times New Roman" w:hAnsi="Arial" w:cs="Times New Roman"/>
      <w:b/>
      <w:bCs/>
      <w:color w:val="4F81BD"/>
      <w:spacing w:val="4"/>
      <w:w w:val="103"/>
      <w:kern w:val="14"/>
      <w:sz w:val="26"/>
      <w:lang w:val="fr-CA" w:eastAsia="en-US"/>
    </w:rPr>
  </w:style>
  <w:style w:type="character" w:customStyle="1" w:styleId="Heading4Char">
    <w:name w:val="Heading 4 Char"/>
    <w:link w:val="Heading4"/>
    <w:uiPriority w:val="9"/>
    <w:rsid w:val="00580C12"/>
    <w:rPr>
      <w:rFonts w:ascii="Cambria" w:eastAsia="Times New Roman" w:hAnsi="Cambria" w:cs="Times New Roman"/>
      <w:b/>
      <w:bCs/>
      <w:i/>
      <w:iCs/>
      <w:color w:val="4F81BD"/>
      <w:spacing w:val="4"/>
      <w:w w:val="103"/>
      <w:kern w:val="14"/>
      <w:sz w:val="20"/>
      <w:lang w:val="fr-CA" w:eastAsia="en-US"/>
    </w:rPr>
  </w:style>
  <w:style w:type="character" w:customStyle="1" w:styleId="Heading5Char">
    <w:name w:val="Heading 5 Char"/>
    <w:link w:val="Heading5"/>
    <w:uiPriority w:val="9"/>
    <w:rsid w:val="00580C12"/>
    <w:rPr>
      <w:rFonts w:ascii="Cambria" w:eastAsia="Times New Roman" w:hAnsi="Cambria" w:cs="Times New Roman"/>
      <w:color w:val="243F60"/>
      <w:spacing w:val="4"/>
      <w:w w:val="103"/>
      <w:kern w:val="14"/>
      <w:sz w:val="20"/>
      <w:lang w:val="fr-CA" w:eastAsia="en-US"/>
    </w:rPr>
  </w:style>
  <w:style w:type="character" w:customStyle="1" w:styleId="Heading6Char">
    <w:name w:val="Heading 6 Char"/>
    <w:link w:val="Heading6"/>
    <w:uiPriority w:val="9"/>
    <w:rsid w:val="00580C12"/>
    <w:rPr>
      <w:rFonts w:ascii="Cambria" w:eastAsia="Times New Roman" w:hAnsi="Cambria" w:cs="Times New Roman"/>
      <w:i/>
      <w:iCs/>
      <w:color w:val="243F60"/>
      <w:spacing w:val="4"/>
      <w:w w:val="103"/>
      <w:kern w:val="14"/>
      <w:sz w:val="20"/>
      <w:lang w:val="fr-CA" w:eastAsia="en-US"/>
    </w:rPr>
  </w:style>
  <w:style w:type="character" w:customStyle="1" w:styleId="Heading7Char">
    <w:name w:val="Heading 7 Char"/>
    <w:link w:val="Heading7"/>
    <w:uiPriority w:val="9"/>
    <w:semiHidden/>
    <w:rsid w:val="00580C12"/>
    <w:rPr>
      <w:rFonts w:ascii="Cambria" w:eastAsia="Times New Roman" w:hAnsi="Cambria" w:cs="Times New Roman"/>
      <w:i/>
      <w:iCs/>
      <w:color w:val="404040"/>
      <w:spacing w:val="4"/>
      <w:w w:val="103"/>
      <w:kern w:val="14"/>
      <w:sz w:val="20"/>
      <w:lang w:val="fr-CA" w:eastAsia="en-US"/>
    </w:rPr>
  </w:style>
  <w:style w:type="character" w:customStyle="1" w:styleId="Heading8Char">
    <w:name w:val="Heading 8 Char"/>
    <w:link w:val="Heading8"/>
    <w:uiPriority w:val="9"/>
    <w:semiHidden/>
    <w:rsid w:val="00580C12"/>
    <w:rPr>
      <w:rFonts w:ascii="Cambria" w:eastAsia="Times New Roman" w:hAnsi="Cambria" w:cs="Times New Roman"/>
      <w:color w:val="404040"/>
      <w:spacing w:val="4"/>
      <w:w w:val="103"/>
      <w:kern w:val="14"/>
      <w:sz w:val="20"/>
      <w:szCs w:val="20"/>
      <w:lang w:val="fr-CA" w:eastAsia="en-US"/>
    </w:rPr>
  </w:style>
  <w:style w:type="character" w:customStyle="1" w:styleId="Heading9Char">
    <w:name w:val="Heading 9 Char"/>
    <w:link w:val="Heading9"/>
    <w:uiPriority w:val="9"/>
    <w:semiHidden/>
    <w:rsid w:val="00580C12"/>
    <w:rPr>
      <w:rFonts w:ascii="Cambria" w:eastAsia="Times New Roman" w:hAnsi="Cambria" w:cs="Times New Roman"/>
      <w:i/>
      <w:iCs/>
      <w:color w:val="404040"/>
      <w:spacing w:val="4"/>
      <w:w w:val="103"/>
      <w:kern w:val="14"/>
      <w:sz w:val="20"/>
      <w:szCs w:val="20"/>
      <w:lang w:val="fr-CA" w:eastAsia="en-US"/>
    </w:rPr>
  </w:style>
  <w:style w:type="character" w:styleId="LineNumber">
    <w:name w:val="line number"/>
    <w:uiPriority w:val="99"/>
    <w:qFormat/>
    <w:rsid w:val="00580C12"/>
    <w:rPr>
      <w:sz w:val="14"/>
    </w:rPr>
  </w:style>
  <w:style w:type="paragraph" w:styleId="ListParagraph">
    <w:name w:val="List Paragraph"/>
    <w:basedOn w:val="Normal"/>
    <w:uiPriority w:val="34"/>
    <w:rsid w:val="00580C12"/>
    <w:pPr>
      <w:ind w:left="720"/>
      <w:contextualSpacing/>
    </w:pPr>
  </w:style>
  <w:style w:type="paragraph" w:styleId="NoSpacing">
    <w:name w:val="No Spacing"/>
    <w:uiPriority w:val="1"/>
    <w:rsid w:val="00580C12"/>
    <w:pPr>
      <w:spacing w:after="0" w:line="240" w:lineRule="auto"/>
    </w:pPr>
    <w:rPr>
      <w:rFonts w:ascii="Calibri" w:eastAsiaTheme="minorHAnsi" w:hAnsi="Calibri" w:cs="Times New Roman"/>
      <w:lang w:val="en-US" w:eastAsia="en-US"/>
    </w:rPr>
  </w:style>
  <w:style w:type="paragraph" w:customStyle="1" w:styleId="Original">
    <w:name w:val="Original"/>
    <w:next w:val="Normal"/>
    <w:autoRedefine/>
    <w:qFormat/>
    <w:rsid w:val="00580C12"/>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Publication">
    <w:name w:val="Publication"/>
    <w:next w:val="Normal"/>
    <w:autoRedefine/>
    <w:qFormat/>
    <w:rsid w:val="00580C12"/>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ReleaseDate">
    <w:name w:val="Release Date"/>
    <w:next w:val="Normal"/>
    <w:autoRedefine/>
    <w:qFormat/>
    <w:rsid w:val="00580C12"/>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580C12"/>
    <w:pPr>
      <w:tabs>
        <w:tab w:val="right" w:pos="9965"/>
      </w:tabs>
      <w:spacing w:line="210" w:lineRule="exact"/>
    </w:pPr>
    <w:rPr>
      <w:spacing w:val="5"/>
      <w:w w:val="104"/>
      <w:sz w:val="17"/>
    </w:rPr>
  </w:style>
  <w:style w:type="paragraph" w:customStyle="1" w:styleId="SmallX">
    <w:name w:val="SmallX"/>
    <w:basedOn w:val="Small"/>
    <w:next w:val="Normal"/>
    <w:qFormat/>
    <w:rsid w:val="00580C12"/>
    <w:pPr>
      <w:spacing w:line="180" w:lineRule="exact"/>
      <w:jc w:val="right"/>
    </w:pPr>
    <w:rPr>
      <w:spacing w:val="6"/>
      <w:w w:val="106"/>
      <w:sz w:val="14"/>
    </w:rPr>
  </w:style>
  <w:style w:type="character" w:styleId="Strong">
    <w:name w:val="Strong"/>
    <w:uiPriority w:val="22"/>
    <w:rsid w:val="00580C12"/>
    <w:rPr>
      <w:b/>
      <w:bCs/>
    </w:rPr>
  </w:style>
  <w:style w:type="paragraph" w:customStyle="1" w:styleId="Style1">
    <w:name w:val="Style1"/>
    <w:basedOn w:val="Normal"/>
    <w:qFormat/>
    <w:rsid w:val="00580C12"/>
  </w:style>
  <w:style w:type="paragraph" w:customStyle="1" w:styleId="Style2">
    <w:name w:val="Style2"/>
    <w:basedOn w:val="Normal"/>
    <w:autoRedefine/>
    <w:qFormat/>
    <w:rsid w:val="00580C12"/>
  </w:style>
  <w:style w:type="paragraph" w:customStyle="1" w:styleId="TitleHCH">
    <w:name w:val="Title_H_CH"/>
    <w:basedOn w:val="H1"/>
    <w:next w:val="Normal"/>
    <w:qFormat/>
    <w:rsid w:val="00580C1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7" w:hanging="1267"/>
    </w:pPr>
    <w:rPr>
      <w:spacing w:val="2"/>
      <w:sz w:val="28"/>
    </w:rPr>
  </w:style>
  <w:style w:type="paragraph" w:customStyle="1" w:styleId="TitleH2">
    <w:name w:val="Title_H2"/>
    <w:basedOn w:val="H1"/>
    <w:next w:val="Normal"/>
    <w:qFormat/>
    <w:rsid w:val="00580C1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outlineLvl w:val="1"/>
    </w:pPr>
    <w:rPr>
      <w:spacing w:val="2"/>
      <w:sz w:val="20"/>
    </w:rPr>
  </w:style>
  <w:style w:type="paragraph" w:customStyle="1" w:styleId="XLarge">
    <w:name w:val="XLarge"/>
    <w:basedOn w:val="HM"/>
    <w:qFormat/>
    <w:rsid w:val="00580C12"/>
    <w:pPr>
      <w:tabs>
        <w:tab w:val="right" w:pos="360"/>
      </w:tabs>
      <w:spacing w:line="390" w:lineRule="exact"/>
    </w:pPr>
    <w:rPr>
      <w:spacing w:val="-4"/>
      <w:w w:val="98"/>
      <w:sz w:val="40"/>
    </w:rPr>
  </w:style>
  <w:style w:type="paragraph" w:customStyle="1" w:styleId="Session">
    <w:name w:val="Session"/>
    <w:basedOn w:val="H23"/>
    <w:qFormat/>
    <w:rsid w:val="009547DC"/>
  </w:style>
  <w:style w:type="paragraph" w:customStyle="1" w:styleId="Sponsors">
    <w:name w:val="Sponsors"/>
    <w:basedOn w:val="H1"/>
    <w:next w:val="Normal"/>
    <w:qFormat/>
    <w:rsid w:val="009547DC"/>
    <w:pPr>
      <w:spacing w:line="240" w:lineRule="exact"/>
      <w:outlineLvl w:val="1"/>
    </w:pPr>
    <w:rPr>
      <w:spacing w:val="2"/>
      <w:sz w:val="20"/>
    </w:rPr>
  </w:style>
  <w:style w:type="paragraph" w:customStyle="1" w:styleId="STitleM">
    <w:name w:val="S_Title_M"/>
    <w:basedOn w:val="Normal"/>
    <w:next w:val="Normal"/>
    <w:qFormat/>
    <w:rsid w:val="009547DC"/>
    <w:pPr>
      <w:keepNext/>
      <w:keepLines/>
      <w:tabs>
        <w:tab w:val="right" w:pos="357"/>
      </w:tabs>
      <w:suppressAutoHyphens/>
      <w:spacing w:line="390" w:lineRule="exact"/>
      <w:ind w:left="1264" w:right="1264"/>
      <w:outlineLvl w:val="0"/>
    </w:pPr>
    <w:rPr>
      <w:b/>
      <w:spacing w:val="-4"/>
      <w:w w:val="98"/>
      <w:sz w:val="40"/>
    </w:rPr>
  </w:style>
  <w:style w:type="paragraph" w:customStyle="1" w:styleId="STitleS">
    <w:name w:val="S_Title_S"/>
    <w:basedOn w:val="HCH"/>
    <w:next w:val="Normal"/>
    <w:qFormat/>
    <w:rsid w:val="009547DC"/>
    <w:pPr>
      <w:ind w:left="1264" w:right="1264"/>
    </w:pPr>
  </w:style>
  <w:style w:type="paragraph" w:customStyle="1" w:styleId="STitleL">
    <w:name w:val="S_Title_L"/>
    <w:basedOn w:val="SM"/>
    <w:next w:val="Normal"/>
    <w:qFormat/>
    <w:rsid w:val="009547DC"/>
    <w:pPr>
      <w:spacing w:line="540" w:lineRule="exact"/>
    </w:pPr>
    <w:rPr>
      <w:spacing w:val="-8"/>
      <w:w w:val="96"/>
      <w:sz w:val="57"/>
    </w:rPr>
  </w:style>
  <w:style w:type="paragraph" w:customStyle="1" w:styleId="SummaryRecord">
    <w:name w:val="SummaryRecord"/>
    <w:basedOn w:val="H23"/>
    <w:next w:val="Session"/>
    <w:qFormat/>
    <w:rsid w:val="009547DC"/>
  </w:style>
  <w:style w:type="paragraph" w:customStyle="1" w:styleId="SRMeetingInfo">
    <w:name w:val="SR_Meeting_Info"/>
    <w:next w:val="Normal"/>
    <w:qFormat/>
    <w:rsid w:val="009547DC"/>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SRContents">
    <w:name w:val="SR_Contents"/>
    <w:basedOn w:val="Normal"/>
    <w:qFormat/>
    <w:rsid w:val="00410BE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character" w:styleId="CommentReference">
    <w:name w:val="annotation reference"/>
    <w:basedOn w:val="DefaultParagraphFont"/>
    <w:uiPriority w:val="99"/>
    <w:semiHidden/>
    <w:unhideWhenUsed/>
    <w:rsid w:val="00077EC1"/>
    <w:rPr>
      <w:sz w:val="16"/>
      <w:szCs w:val="16"/>
    </w:rPr>
  </w:style>
  <w:style w:type="paragraph" w:styleId="CommentText">
    <w:name w:val="annotation text"/>
    <w:basedOn w:val="Normal"/>
    <w:link w:val="CommentTextChar"/>
    <w:uiPriority w:val="99"/>
    <w:semiHidden/>
    <w:unhideWhenUsed/>
    <w:rsid w:val="00077EC1"/>
    <w:pPr>
      <w:spacing w:line="240" w:lineRule="auto"/>
    </w:pPr>
    <w:rPr>
      <w:szCs w:val="20"/>
    </w:rPr>
  </w:style>
  <w:style w:type="character" w:customStyle="1" w:styleId="CommentTextChar">
    <w:name w:val="Comment Text Char"/>
    <w:basedOn w:val="DefaultParagraphFont"/>
    <w:link w:val="CommentText"/>
    <w:uiPriority w:val="99"/>
    <w:semiHidden/>
    <w:rsid w:val="00077EC1"/>
    <w:rPr>
      <w:rFonts w:ascii="Times New Roman" w:eastAsiaTheme="minorHAnsi" w:hAnsi="Times New Roman" w:cs="Times New Roman"/>
      <w:spacing w:val="4"/>
      <w:w w:val="103"/>
      <w:kern w:val="14"/>
      <w:sz w:val="20"/>
      <w:szCs w:val="20"/>
      <w:lang w:val="fr-CA" w:eastAsia="en-US"/>
    </w:rPr>
  </w:style>
  <w:style w:type="paragraph" w:styleId="CommentSubject">
    <w:name w:val="annotation subject"/>
    <w:basedOn w:val="CommentText"/>
    <w:next w:val="CommentText"/>
    <w:link w:val="CommentSubjectChar"/>
    <w:uiPriority w:val="99"/>
    <w:semiHidden/>
    <w:unhideWhenUsed/>
    <w:rsid w:val="00077EC1"/>
    <w:rPr>
      <w:b/>
      <w:bCs/>
    </w:rPr>
  </w:style>
  <w:style w:type="character" w:customStyle="1" w:styleId="CommentSubjectChar">
    <w:name w:val="Comment Subject Char"/>
    <w:basedOn w:val="CommentTextChar"/>
    <w:link w:val="CommentSubject"/>
    <w:uiPriority w:val="99"/>
    <w:semiHidden/>
    <w:rsid w:val="00077EC1"/>
    <w:rPr>
      <w:rFonts w:ascii="Times New Roman" w:eastAsiaTheme="minorHAnsi" w:hAnsi="Times New Roman" w:cs="Times New Roman"/>
      <w:b/>
      <w:bCs/>
      <w:spacing w:val="4"/>
      <w:w w:val="103"/>
      <w:kern w:val="14"/>
      <w:sz w:val="20"/>
      <w:szCs w:val="20"/>
      <w:lang w:val="fr-CA" w:eastAsia="en-US"/>
    </w:rPr>
  </w:style>
  <w:style w:type="table" w:styleId="TableGrid">
    <w:name w:val="Table Grid"/>
    <w:basedOn w:val="TableNormal"/>
    <w:uiPriority w:val="59"/>
    <w:rsid w:val="00A6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3696"/>
    <w:rPr>
      <w:color w:val="0000FF"/>
      <w:u w:val="none"/>
    </w:rPr>
  </w:style>
  <w:style w:type="character" w:styleId="FollowedHyperlink">
    <w:name w:val="FollowedHyperlink"/>
    <w:basedOn w:val="DefaultParagraphFont"/>
    <w:uiPriority w:val="99"/>
    <w:semiHidden/>
    <w:unhideWhenUsed/>
    <w:rsid w:val="00A63696"/>
    <w:rPr>
      <w:color w:val="0000FF"/>
      <w:u w:val="none"/>
    </w:rPr>
  </w:style>
  <w:style w:type="character" w:styleId="UnresolvedMention">
    <w:name w:val="Unresolved Mention"/>
    <w:basedOn w:val="DefaultParagraphFont"/>
    <w:uiPriority w:val="99"/>
    <w:semiHidden/>
    <w:unhideWhenUsed/>
    <w:rsid w:val="00A63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s://undocs.org/fr/CEB/2019/3/Add.2" TargetMode="External"/><Relationship Id="rId3" Type="http://schemas.openxmlformats.org/officeDocument/2006/relationships/hyperlink" Target="https://undocs.org/fr/A/RES/72/219" TargetMode="External"/><Relationship Id="rId7" Type="http://schemas.openxmlformats.org/officeDocument/2006/relationships/hyperlink" Target="https://undocs.org/fr/FCCC/CP/2015/10/Add.1" TargetMode="External"/><Relationship Id="rId2" Type="http://schemas.openxmlformats.org/officeDocument/2006/relationships/hyperlink" Target="https://undocs.org/fr/A/72/82" TargetMode="External"/><Relationship Id="rId1" Type="http://schemas.openxmlformats.org/officeDocument/2006/relationships/hyperlink" Target="https://undocs.org/fr/A/RES/70/1" TargetMode="External"/><Relationship Id="rId6" Type="http://schemas.openxmlformats.org/officeDocument/2006/relationships/hyperlink" Target="https://undocs.org/fr/A/CONF.48/14/Rev.1" TargetMode="External"/><Relationship Id="rId11" Type="http://schemas.openxmlformats.org/officeDocument/2006/relationships/hyperlink" Target="https://undocs.org/fr/A/72/82" TargetMode="External"/><Relationship Id="rId5" Type="http://schemas.openxmlformats.org/officeDocument/2006/relationships/hyperlink" Target="https://undocs.org/fr/CEB/2019/3/Add.2" TargetMode="External"/><Relationship Id="rId10" Type="http://schemas.openxmlformats.org/officeDocument/2006/relationships/hyperlink" Target="https://undocs.org/fr/A/RES/72/219" TargetMode="External"/><Relationship Id="rId4" Type="http://schemas.openxmlformats.org/officeDocument/2006/relationships/hyperlink" Target="https://undocs.org/fr/A/RES/70/286" TargetMode="External"/><Relationship Id="rId9" Type="http://schemas.openxmlformats.org/officeDocument/2006/relationships/hyperlink" Target="https://undocs.org/fr/A/RES/70/28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06115-E27A-4424-B1D8-A48E7E1EE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2620</Words>
  <Characters>14934</Characters>
  <Application>Microsoft Office Word</Application>
  <DocSecurity>0</DocSecurity>
  <Lines>124</Lines>
  <Paragraphs>35</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Circulaire du Secrétaire général</vt:lpstr>
      <vt:lpstr>Politique environnementale applicable au Secrétariat de l’Organisation des Nat</vt:lpstr>
      <vt:lpstr>Annexe</vt:lpstr>
      <vt:lpstr>Politique environnementale applicable au Secrétariat de l’Organisation des Nat</vt:lpstr>
      <vt:lpstr>I.	Aperçu général</vt:lpstr>
      <vt:lpstr>II.	Objet</vt:lpstr>
      <vt:lpstr>III.	Champ d’application</vt:lpstr>
      <vt:lpstr>IV.	Principes et objectifs</vt:lpstr>
      <vt:lpstr>    Principe 1 : gestion de l’environnement</vt:lpstr>
      <vt:lpstr>    Principe 2 : efficacité de l’utilisation des ressources et des opérations</vt:lpstr>
      <vt:lpstr>    Principe 4 : participation des parties prenantes à tous les niveaux</vt:lpstr>
      <vt:lpstr>    Principe 5 : adaptation et résilience</vt:lpstr>
      <vt:lpstr>V.	Mise en œuvre </vt:lpstr>
      <vt:lpstr>A.	Gestion systématique de la viabilité environnementale</vt:lpstr>
      <vt:lpstr>B.	Gouvernance et responsabilités</vt:lpstr>
      <vt:lpstr>C.	Suivi et communication de l’information</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Adoum Goulgue</dc:creator>
  <cp:keywords/>
  <dc:description/>
  <cp:lastModifiedBy>Veronica Hoyos Farfan</cp:lastModifiedBy>
  <cp:revision>2</cp:revision>
  <cp:lastPrinted>2019-09-12T19:15:00Z</cp:lastPrinted>
  <dcterms:created xsi:type="dcterms:W3CDTF">2019-09-23T12:56:00Z</dcterms:created>
  <dcterms:modified xsi:type="dcterms:W3CDTF">2019-09-23T12:56:00Z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1915224F</vt:lpwstr>
  </property>
  <property fmtid="{D5CDD505-2E9C-101B-9397-08002B2CF9AE}" pid="3" name="ODSRefJobNo">
    <vt:lpwstr>1927120F</vt:lpwstr>
  </property>
  <property fmtid="{D5CDD505-2E9C-101B-9397-08002B2CF9AE}" pid="4" name="Symbol1">
    <vt:lpwstr>ST/SGB/2019/7</vt:lpwstr>
  </property>
  <property fmtid="{D5CDD505-2E9C-101B-9397-08002B2CF9AE}" pid="5" name="Symbol2">
    <vt:lpwstr/>
  </property>
  <property fmtid="{D5CDD505-2E9C-101B-9397-08002B2CF9AE}" pid="6" name="Translator">
    <vt:lpwstr/>
  </property>
  <property fmtid="{D5CDD505-2E9C-101B-9397-08002B2CF9AE}" pid="7" name="Operator">
    <vt:lpwstr>Ago</vt:lpwstr>
  </property>
  <property fmtid="{D5CDD505-2E9C-101B-9397-08002B2CF9AE}" pid="8" name="DraftPages">
    <vt:lpwstr> </vt:lpwstr>
  </property>
  <property fmtid="{D5CDD505-2E9C-101B-9397-08002B2CF9AE}" pid="9" name="Comment">
    <vt:lpwstr/>
  </property>
  <property fmtid="{D5CDD505-2E9C-101B-9397-08002B2CF9AE}" pid="10" name="Category">
    <vt:lpwstr>Document</vt:lpwstr>
  </property>
  <property fmtid="{D5CDD505-2E9C-101B-9397-08002B2CF9AE}" pid="11" name="Language">
    <vt:lpwstr>French</vt:lpwstr>
  </property>
  <property fmtid="{D5CDD505-2E9C-101B-9397-08002B2CF9AE}" pid="12" name="Publication Date">
    <vt:lpwstr>4 septembre 2019</vt:lpwstr>
  </property>
  <property fmtid="{D5CDD505-2E9C-101B-9397-08002B2CF9AE}" pid="13" name="Release Date">
    <vt:lpwstr>120919</vt:lpwstr>
  </property>
  <property fmtid="{D5CDD505-2E9C-101B-9397-08002B2CF9AE}" pid="14" name="Title1">
    <vt:lpwstr>		Circulaire du Secrétaire général_x000d_</vt:lpwstr>
  </property>
  <property fmtid="{D5CDD505-2E9C-101B-9397-08002B2CF9AE}" pid="15" name="Title2">
    <vt:lpwstr>		Politique environnementale applicable au Secrétariat de l’Organisation des Nations Unies_x000d_</vt:lpwstr>
  </property>
</Properties>
</file>