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899B" w14:textId="77777777" w:rsidR="008E1DB1" w:rsidRDefault="008E1DB1" w:rsidP="008E1DB1">
      <w:pPr>
        <w:spacing w:line="240" w:lineRule="auto"/>
        <w:rPr>
          <w:sz w:val="2"/>
        </w:rPr>
        <w:sectPr w:rsidR="008E1DB1" w:rsidSect="00C9387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4C5597B4" w14:textId="708BEE8F" w:rsidR="00C9387D" w:rsidRPr="00C9387D" w:rsidRDefault="00C9387D" w:rsidP="000615B3">
      <w:pPr>
        <w:pStyle w:val="TitleHCH"/>
        <w:rPr>
          <w:lang w:val="fr-FR"/>
        </w:rPr>
      </w:pPr>
      <w:r w:rsidRPr="00C9387D">
        <w:rPr>
          <w:lang w:val="fr-FR"/>
        </w:rPr>
        <w:tab/>
      </w:r>
      <w:r w:rsidR="000615B3">
        <w:rPr>
          <w:lang w:val="fr-FR"/>
        </w:rPr>
        <w:tab/>
      </w:r>
      <w:r w:rsidRPr="00C9387D">
        <w:rPr>
          <w:lang w:val="fr-FR"/>
        </w:rPr>
        <w:t>Circulaire du Secrétaire général</w:t>
      </w:r>
    </w:p>
    <w:p w14:paraId="0AA9AFA8" w14:textId="434BDE3B" w:rsidR="00C9387D" w:rsidRPr="000615B3" w:rsidRDefault="00C9387D" w:rsidP="000615B3">
      <w:pPr>
        <w:pStyle w:val="SingleTxt"/>
        <w:spacing w:after="0" w:line="120" w:lineRule="exact"/>
        <w:rPr>
          <w:sz w:val="10"/>
          <w:lang w:val="fr-FR"/>
        </w:rPr>
      </w:pPr>
    </w:p>
    <w:p w14:paraId="5099680E" w14:textId="2839CD22" w:rsidR="000615B3" w:rsidRPr="000615B3" w:rsidRDefault="000615B3" w:rsidP="000615B3">
      <w:pPr>
        <w:pStyle w:val="SingleTxt"/>
        <w:spacing w:after="0" w:line="120" w:lineRule="exact"/>
        <w:rPr>
          <w:sz w:val="10"/>
          <w:lang w:val="fr-FR"/>
        </w:rPr>
      </w:pPr>
    </w:p>
    <w:p w14:paraId="4EEEC41F" w14:textId="77777777" w:rsidR="00C9387D" w:rsidRPr="00C9387D" w:rsidRDefault="00C9387D" w:rsidP="000615B3">
      <w:pPr>
        <w:pStyle w:val="TitleHCH"/>
        <w:rPr>
          <w:lang w:val="fr-FR"/>
        </w:rPr>
      </w:pPr>
      <w:r w:rsidRPr="00C9387D">
        <w:rPr>
          <w:lang w:val="fr-FR"/>
        </w:rPr>
        <w:tab/>
      </w:r>
      <w:r w:rsidRPr="00C9387D">
        <w:rPr>
          <w:lang w:val="fr-FR"/>
        </w:rPr>
        <w:tab/>
        <w:t>Aménagement des modalités de travail</w:t>
      </w:r>
    </w:p>
    <w:p w14:paraId="38E6AE9B" w14:textId="4ED2CD63" w:rsidR="00C9387D" w:rsidRPr="000615B3" w:rsidRDefault="00C9387D" w:rsidP="000615B3">
      <w:pPr>
        <w:pStyle w:val="SingleTxt"/>
        <w:spacing w:after="0" w:line="120" w:lineRule="exact"/>
        <w:rPr>
          <w:sz w:val="10"/>
          <w:lang w:val="fr-FR"/>
        </w:rPr>
      </w:pPr>
    </w:p>
    <w:p w14:paraId="081E2B81" w14:textId="0877B3DB" w:rsidR="000615B3" w:rsidRPr="000615B3" w:rsidRDefault="000615B3" w:rsidP="000615B3">
      <w:pPr>
        <w:pStyle w:val="SingleTxt"/>
        <w:spacing w:after="0" w:line="120" w:lineRule="exact"/>
        <w:rPr>
          <w:sz w:val="10"/>
          <w:lang w:val="fr-FR"/>
        </w:rPr>
      </w:pPr>
    </w:p>
    <w:p w14:paraId="1F168CDA" w14:textId="77561D83" w:rsidR="00C9387D" w:rsidRPr="00C9387D" w:rsidRDefault="00C9387D" w:rsidP="00C9387D">
      <w:pPr>
        <w:pStyle w:val="SingleTxt"/>
        <w:rPr>
          <w:lang w:val="fr-FR"/>
        </w:rPr>
      </w:pPr>
      <w:r w:rsidRPr="00C9387D">
        <w:rPr>
          <w:lang w:val="fr-FR"/>
        </w:rPr>
        <w:tab/>
        <w:t>Considérant l</w:t>
      </w:r>
      <w:r w:rsidR="004933C3">
        <w:rPr>
          <w:lang w:val="fr-FR"/>
        </w:rPr>
        <w:t>’</w:t>
      </w:r>
      <w:r w:rsidRPr="00C9387D">
        <w:rPr>
          <w:lang w:val="fr-FR"/>
        </w:rPr>
        <w:t>importance que revêt l</w:t>
      </w:r>
      <w:r w:rsidR="004933C3">
        <w:rPr>
          <w:lang w:val="fr-FR"/>
        </w:rPr>
        <w:t>’</w:t>
      </w:r>
      <w:r w:rsidRPr="00C9387D">
        <w:rPr>
          <w:lang w:val="fr-FR"/>
        </w:rPr>
        <w:t xml:space="preserve">aménagement des modalités de travail </w:t>
      </w:r>
      <w:proofErr w:type="gramStart"/>
      <w:r w:rsidRPr="00C9387D">
        <w:rPr>
          <w:lang w:val="fr-FR"/>
        </w:rPr>
        <w:t>pour</w:t>
      </w:r>
      <w:proofErr w:type="gramEnd"/>
      <w:r w:rsidRPr="00C9387D">
        <w:rPr>
          <w:lang w:val="fr-FR"/>
        </w:rPr>
        <w:t xml:space="preserve"> assurer un juste équilibre entre les impératifs professionnels et la vie personnelle des fonctionnaires</w:t>
      </w:r>
      <w:r w:rsidR="0077441B" w:rsidRPr="0077441B">
        <w:rPr>
          <w:lang w:val="fr-FR"/>
        </w:rPr>
        <w:t>*</w:t>
      </w:r>
      <w:r w:rsidRPr="00C9387D">
        <w:rPr>
          <w:lang w:val="fr-FR"/>
        </w:rPr>
        <w:t>, ainsi que la difficulté de trouver de nouveaux et meilleurs moyens de gérer efficacement les effectifs, le temps, l</w:t>
      </w:r>
      <w:r w:rsidR="004933C3">
        <w:rPr>
          <w:lang w:val="fr-FR"/>
        </w:rPr>
        <w:t>’</w:t>
      </w:r>
      <w:r w:rsidRPr="00C9387D">
        <w:rPr>
          <w:lang w:val="fr-FR"/>
        </w:rPr>
        <w:t>espace et la charge de travail, et aux fins de l</w:t>
      </w:r>
      <w:r w:rsidR="004933C3">
        <w:rPr>
          <w:lang w:val="fr-FR"/>
        </w:rPr>
        <w:t>’</w:t>
      </w:r>
      <w:r w:rsidRPr="00C9387D">
        <w:rPr>
          <w:lang w:val="fr-FR"/>
        </w:rPr>
        <w:t>application de la disposition 1.4 du Règlement du personnel relative aux heures de travail, le Secrétair</w:t>
      </w:r>
      <w:r w:rsidR="004933C3">
        <w:rPr>
          <w:lang w:val="fr-FR"/>
        </w:rPr>
        <w:t>e général promulgue ce qui suit </w:t>
      </w:r>
      <w:r w:rsidRPr="00C9387D">
        <w:rPr>
          <w:lang w:val="fr-FR"/>
        </w:rPr>
        <w:t xml:space="preserve">: </w:t>
      </w:r>
    </w:p>
    <w:p w14:paraId="3F263EF1" w14:textId="1EECA1D4" w:rsidR="00C9387D" w:rsidRPr="004933C3" w:rsidRDefault="00C9387D" w:rsidP="004933C3">
      <w:pPr>
        <w:pStyle w:val="SingleTxt"/>
        <w:spacing w:after="0" w:line="120" w:lineRule="exact"/>
        <w:rPr>
          <w:sz w:val="10"/>
          <w:lang w:val="fr-FR"/>
        </w:rPr>
      </w:pPr>
    </w:p>
    <w:p w14:paraId="2542180C" w14:textId="77777777" w:rsidR="004933C3" w:rsidRDefault="004933C3" w:rsidP="00493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1</w:t>
      </w:r>
    </w:p>
    <w:p w14:paraId="542B2DB0" w14:textId="5C2A8961" w:rsidR="00C9387D" w:rsidRDefault="004933C3" w:rsidP="00493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Dispositions générales</w:t>
      </w:r>
    </w:p>
    <w:p w14:paraId="66E52680" w14:textId="0002FBA8" w:rsidR="004933C3" w:rsidRPr="004933C3" w:rsidRDefault="004933C3" w:rsidP="004933C3">
      <w:pPr>
        <w:pStyle w:val="SingleTxt"/>
        <w:spacing w:after="0" w:line="120" w:lineRule="exact"/>
        <w:rPr>
          <w:sz w:val="10"/>
          <w:lang w:val="fr-FR"/>
        </w:rPr>
      </w:pPr>
    </w:p>
    <w:p w14:paraId="17849C85" w14:textId="6575C4DD" w:rsidR="00C9387D" w:rsidRPr="00C9387D" w:rsidRDefault="004933C3" w:rsidP="004933C3">
      <w:pPr>
        <w:pStyle w:val="SingleTxt"/>
        <w:rPr>
          <w:lang w:val="fr-FR"/>
        </w:rPr>
      </w:pPr>
      <w:r>
        <w:rPr>
          <w:lang w:val="fr-FR"/>
        </w:rPr>
        <w:t>1.1</w:t>
      </w:r>
      <w:r>
        <w:rPr>
          <w:lang w:val="fr-FR"/>
        </w:rPr>
        <w:tab/>
      </w:r>
      <w:r w:rsidR="00C9387D" w:rsidRPr="00C9387D">
        <w:rPr>
          <w:lang w:val="fr-FR"/>
        </w:rPr>
        <w:t>L</w:t>
      </w:r>
      <w:r>
        <w:rPr>
          <w:lang w:val="fr-FR"/>
        </w:rPr>
        <w:t>’</w:t>
      </w:r>
      <w:r w:rsidR="00C9387D" w:rsidRPr="00C9387D">
        <w:rPr>
          <w:lang w:val="fr-FR"/>
        </w:rPr>
        <w:t>aménagement des modalités de travail est l</w:t>
      </w:r>
      <w:r>
        <w:rPr>
          <w:lang w:val="fr-FR"/>
        </w:rPr>
        <w:t>’</w:t>
      </w:r>
      <w:r w:rsidR="00C9387D" w:rsidRPr="00C9387D">
        <w:rPr>
          <w:lang w:val="fr-FR"/>
        </w:rPr>
        <w:t>adaptation de l</w:t>
      </w:r>
      <w:r>
        <w:rPr>
          <w:lang w:val="fr-FR"/>
        </w:rPr>
        <w:t>’</w:t>
      </w:r>
      <w:r w:rsidR="00C9387D" w:rsidRPr="00C9387D">
        <w:rPr>
          <w:lang w:val="fr-FR"/>
        </w:rPr>
        <w:t>horaire et du lieu de travail normaux du fonctionnaire. L</w:t>
      </w:r>
      <w:r>
        <w:rPr>
          <w:lang w:val="fr-FR"/>
        </w:rPr>
        <w:t>’</w:t>
      </w:r>
      <w:r w:rsidR="00C9387D" w:rsidRPr="00C9387D">
        <w:rPr>
          <w:lang w:val="fr-FR"/>
        </w:rPr>
        <w:t>horaire de travail normal peut varier d</w:t>
      </w:r>
      <w:r>
        <w:rPr>
          <w:lang w:val="fr-FR"/>
        </w:rPr>
        <w:t>’</w:t>
      </w:r>
      <w:r w:rsidR="00C9387D" w:rsidRPr="00C9387D">
        <w:rPr>
          <w:lang w:val="fr-FR"/>
        </w:rPr>
        <w:t>un lieu d</w:t>
      </w:r>
      <w:r>
        <w:rPr>
          <w:lang w:val="fr-FR"/>
        </w:rPr>
        <w:t>’</w:t>
      </w:r>
      <w:r w:rsidR="00C9387D" w:rsidRPr="00C9387D">
        <w:rPr>
          <w:lang w:val="fr-FR"/>
        </w:rPr>
        <w:t>affectation à l</w:t>
      </w:r>
      <w:r>
        <w:rPr>
          <w:lang w:val="fr-FR"/>
        </w:rPr>
        <w:t>’</w:t>
      </w:r>
      <w:r w:rsidR="00C9387D" w:rsidRPr="00C9387D">
        <w:rPr>
          <w:lang w:val="fr-FR"/>
        </w:rPr>
        <w:t>autre. Pour que le personnel d</w:t>
      </w:r>
      <w:r>
        <w:rPr>
          <w:lang w:val="fr-FR"/>
        </w:rPr>
        <w:t>’</w:t>
      </w:r>
      <w:r w:rsidR="00C9387D" w:rsidRPr="00C9387D">
        <w:rPr>
          <w:lang w:val="fr-FR"/>
        </w:rPr>
        <w:t xml:space="preserve">encadrement et les fonctionnaires puissent avoir la plus grande marge de </w:t>
      </w:r>
      <w:r w:rsidR="004D5CC2">
        <w:rPr>
          <w:lang w:val="fr-FR"/>
        </w:rPr>
        <w:t>m</w:t>
      </w:r>
      <w:r w:rsidR="004D5CC2" w:rsidRPr="00C9387D">
        <w:rPr>
          <w:lang w:val="fr-FR"/>
        </w:rPr>
        <w:t>anœuvre</w:t>
      </w:r>
      <w:r w:rsidR="00C9387D" w:rsidRPr="00C9387D">
        <w:rPr>
          <w:lang w:val="fr-FR"/>
        </w:rPr>
        <w:t xml:space="preserve"> possible pour améliorer l</w:t>
      </w:r>
      <w:r>
        <w:rPr>
          <w:lang w:val="fr-FR"/>
        </w:rPr>
        <w:t>’</w:t>
      </w:r>
      <w:r w:rsidR="00C9387D" w:rsidRPr="00C9387D">
        <w:rPr>
          <w:lang w:val="fr-FR"/>
        </w:rPr>
        <w:t>équilibre entre vie professionnelle et vie personnelle tout en préservant l</w:t>
      </w:r>
      <w:r>
        <w:rPr>
          <w:lang w:val="fr-FR"/>
        </w:rPr>
        <w:t>’</w:t>
      </w:r>
      <w:r w:rsidR="00C9387D" w:rsidRPr="00C9387D">
        <w:rPr>
          <w:lang w:val="fr-FR"/>
        </w:rPr>
        <w:t>efficacité et l</w:t>
      </w:r>
      <w:r>
        <w:rPr>
          <w:lang w:val="fr-FR"/>
        </w:rPr>
        <w:t>’</w:t>
      </w:r>
      <w:r w:rsidR="00C9387D" w:rsidRPr="00C9387D">
        <w:rPr>
          <w:lang w:val="fr-FR"/>
        </w:rPr>
        <w:t>efficience dans l</w:t>
      </w:r>
      <w:r>
        <w:rPr>
          <w:lang w:val="fr-FR"/>
        </w:rPr>
        <w:t>’</w:t>
      </w:r>
      <w:r w:rsidR="00C9387D" w:rsidRPr="00C9387D">
        <w:rPr>
          <w:lang w:val="fr-FR"/>
        </w:rPr>
        <w:t>exécution des tâches, le recours à des modalités de travail aménagées peut être autorisé dans tous les départements, bureaux et missions du Secrétariat.</w:t>
      </w:r>
      <w:bookmarkStart w:id="1" w:name="_Hlk517077784"/>
      <w:bookmarkEnd w:id="1"/>
    </w:p>
    <w:p w14:paraId="55755D27" w14:textId="6E1B6795" w:rsidR="00C9387D" w:rsidRPr="00C9387D" w:rsidRDefault="004933C3" w:rsidP="004933C3">
      <w:pPr>
        <w:pStyle w:val="SingleTxt"/>
        <w:rPr>
          <w:lang w:val="fr-FR"/>
        </w:rPr>
      </w:pPr>
      <w:r>
        <w:rPr>
          <w:lang w:val="fr-FR"/>
        </w:rPr>
        <w:t>1.2</w:t>
      </w:r>
      <w:r>
        <w:rPr>
          <w:lang w:val="fr-FR"/>
        </w:rPr>
        <w:tab/>
      </w:r>
      <w:r w:rsidR="00C9387D" w:rsidRPr="00C9387D">
        <w:rPr>
          <w:lang w:val="fr-FR"/>
        </w:rPr>
        <w:t>L</w:t>
      </w:r>
      <w:r>
        <w:rPr>
          <w:lang w:val="fr-FR"/>
        </w:rPr>
        <w:t>’</w:t>
      </w:r>
      <w:r w:rsidR="00C9387D" w:rsidRPr="00C9387D">
        <w:rPr>
          <w:lang w:val="fr-FR"/>
        </w:rPr>
        <w:t>aménagement des modalités de travail se distingue des congés. Le congé est considéré comme une absence ; si un fonctionnaire souhaite ne pas travailler, il doit demander un</w:t>
      </w:r>
      <w:r w:rsidR="0077441B">
        <w:rPr>
          <w:lang w:val="fr-FR"/>
        </w:rPr>
        <w:t xml:space="preserve"> congé, qui doit être approuvé.</w:t>
      </w:r>
    </w:p>
    <w:p w14:paraId="12837BE9" w14:textId="76B7ABD1" w:rsidR="00C9387D" w:rsidRDefault="004933C3" w:rsidP="004933C3">
      <w:pPr>
        <w:pStyle w:val="SingleTxt"/>
        <w:rPr>
          <w:lang w:val="fr-FR"/>
        </w:rPr>
      </w:pPr>
      <w:r>
        <w:rPr>
          <w:lang w:val="fr-FR"/>
        </w:rPr>
        <w:t>1.3</w:t>
      </w:r>
      <w:r>
        <w:rPr>
          <w:lang w:val="fr-FR"/>
        </w:rPr>
        <w:tab/>
      </w:r>
      <w:r w:rsidR="00C9387D" w:rsidRPr="00C9387D">
        <w:rPr>
          <w:lang w:val="fr-FR"/>
        </w:rPr>
        <w:t>En application de la politique relative au système de gestion de la résilience de l</w:t>
      </w:r>
      <w:r>
        <w:rPr>
          <w:lang w:val="fr-FR"/>
        </w:rPr>
        <w:t>’</w:t>
      </w:r>
      <w:r w:rsidR="00C9387D" w:rsidRPr="00C9387D">
        <w:rPr>
          <w:lang w:val="fr-FR"/>
        </w:rPr>
        <w:t>Organisation et pour faciliter la continuité des opérations en cas de crise, les fonctionnaires peuvent être appelés à travailler ailleurs qu</w:t>
      </w:r>
      <w:r>
        <w:rPr>
          <w:lang w:val="fr-FR"/>
        </w:rPr>
        <w:t>’</w:t>
      </w:r>
      <w:r w:rsidR="00C9387D" w:rsidRPr="00C9387D">
        <w:rPr>
          <w:lang w:val="fr-FR"/>
        </w:rPr>
        <w:t>à leur lieu de travail habituel. Ces situations sont exceptionnelles et ne doivent pas être considérées comme des modalités de travail aménagées. En pareil cas, l</w:t>
      </w:r>
      <w:r>
        <w:rPr>
          <w:lang w:val="fr-FR"/>
        </w:rPr>
        <w:t>’</w:t>
      </w:r>
      <w:r w:rsidR="00C9387D" w:rsidRPr="00C9387D">
        <w:rPr>
          <w:lang w:val="fr-FR"/>
        </w:rPr>
        <w:t>Organisation fournit aux fonctionnaires concernés, dans la mesure du possible, le matériel et les ressources nécessaires à l</w:t>
      </w:r>
      <w:r>
        <w:rPr>
          <w:lang w:val="fr-FR"/>
        </w:rPr>
        <w:t>’</w:t>
      </w:r>
      <w:r w:rsidR="00C9387D" w:rsidRPr="00C9387D">
        <w:rPr>
          <w:lang w:val="fr-FR"/>
        </w:rPr>
        <w:t>exercice de leurs fonctions officielles.</w:t>
      </w:r>
    </w:p>
    <w:p w14:paraId="7F476848" w14:textId="71789FFE" w:rsidR="004933C3" w:rsidRPr="004933C3" w:rsidRDefault="004933C3" w:rsidP="004933C3">
      <w:pPr>
        <w:pStyle w:val="SingleTxt"/>
        <w:spacing w:after="0" w:line="120" w:lineRule="exact"/>
        <w:rPr>
          <w:sz w:val="10"/>
          <w:lang w:val="fr-FR"/>
        </w:rPr>
      </w:pPr>
    </w:p>
    <w:p w14:paraId="3B9ECDA2" w14:textId="655E4692" w:rsidR="004933C3" w:rsidRPr="00C9387D" w:rsidRDefault="004933C3" w:rsidP="00493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2</w:t>
      </w:r>
    </w:p>
    <w:p w14:paraId="6CAB9221" w14:textId="3DB723AD" w:rsidR="00C9387D" w:rsidRDefault="004933C3" w:rsidP="004933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Principes directeurs</w:t>
      </w:r>
    </w:p>
    <w:p w14:paraId="35E06BB4" w14:textId="0645FF74" w:rsidR="0077441B" w:rsidRPr="0077441B" w:rsidRDefault="0077441B" w:rsidP="0077441B">
      <w:pPr>
        <w:pStyle w:val="SingleTxt"/>
        <w:spacing w:after="0" w:line="120" w:lineRule="exact"/>
        <w:rPr>
          <w:sz w:val="10"/>
          <w:lang w:val="fr-FR"/>
        </w:rPr>
      </w:pPr>
    </w:p>
    <w:p w14:paraId="66EBB67E" w14:textId="77777777" w:rsidR="00381749" w:rsidRPr="0077441B" w:rsidRDefault="00381749" w:rsidP="00381749">
      <w:pPr>
        <w:framePr w:w="9792" w:h="432" w:hSpace="180" w:wrap="around" w:vAnchor="page" w:hAnchor="page" w:x="1203" w:y="138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23631E95" wp14:editId="052D4C99">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0D66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Pr>
          <w:noProof/>
          <w:w w:val="100"/>
        </w:rPr>
        <mc:AlternateContent>
          <mc:Choice Requires="wps">
            <w:drawing>
              <wp:anchor distT="0" distB="0" distL="114300" distR="114300" simplePos="0" relativeHeight="251663360" behindDoc="0" locked="0" layoutInCell="1" allowOverlap="1" wp14:anchorId="2B91B53A" wp14:editId="0FE24AA4">
                <wp:simplePos x="0" y="0"/>
                <wp:positionH relativeFrom="column">
                  <wp:posOffset>767715</wp:posOffset>
                </wp:positionH>
                <wp:positionV relativeFrom="paragraph">
                  <wp:posOffset>8667115</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1CCD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" strokecolor="#010000" strokeweight=".25pt"/>
            </w:pict>
          </mc:Fallback>
        </mc:AlternateContent>
      </w:r>
      <w:r>
        <w:rPr>
          <w:spacing w:val="5"/>
          <w:w w:val="104"/>
          <w:sz w:val="17"/>
          <w:szCs w:val="20"/>
        </w:rPr>
        <w:t>Dans le présent document, le masculin à valeur générique a parfois été utilisé à la seule fin d’alléger le texte : il renvoie aussi bien aux femmes qu’aux hommes.</w:t>
      </w:r>
    </w:p>
    <w:p w14:paraId="0D11F513" w14:textId="5E982298" w:rsidR="00C9387D" w:rsidRPr="00C9387D" w:rsidRDefault="0077441B" w:rsidP="004933C3">
      <w:pPr>
        <w:pStyle w:val="SingleTxt"/>
        <w:rPr>
          <w:lang w:val="fr-FR"/>
        </w:rPr>
      </w:pPr>
      <w:r>
        <w:rPr>
          <w:lang w:val="fr-FR"/>
        </w:rPr>
        <w:t>2.1</w:t>
      </w:r>
      <w:r>
        <w:rPr>
          <w:lang w:val="fr-FR"/>
        </w:rPr>
        <w:tab/>
      </w:r>
      <w:r w:rsidR="00C9387D" w:rsidRPr="00C9387D">
        <w:rPr>
          <w:lang w:val="fr-FR"/>
        </w:rPr>
        <w:t>L</w:t>
      </w:r>
      <w:r w:rsidR="004933C3">
        <w:rPr>
          <w:lang w:val="fr-FR"/>
        </w:rPr>
        <w:t>’</w:t>
      </w:r>
      <w:r w:rsidR="00C9387D" w:rsidRPr="00C9387D">
        <w:rPr>
          <w:lang w:val="fr-FR"/>
        </w:rPr>
        <w:t>aménagement des modalités de travail peut être autorisé à condition qu</w:t>
      </w:r>
      <w:r w:rsidR="004933C3">
        <w:rPr>
          <w:lang w:val="fr-FR"/>
        </w:rPr>
        <w:t>’</w:t>
      </w:r>
      <w:r w:rsidR="00C9387D" w:rsidRPr="00C9387D">
        <w:rPr>
          <w:lang w:val="fr-FR"/>
        </w:rPr>
        <w:t>il satisfasse aux principes directeurs suivants</w:t>
      </w:r>
      <w:r w:rsidR="00A77FF7">
        <w:rPr>
          <w:lang w:val="fr-FR"/>
        </w:rPr>
        <w:t> </w:t>
      </w:r>
      <w:r w:rsidR="00C9387D" w:rsidRPr="00C9387D">
        <w:rPr>
          <w:lang w:val="fr-FR"/>
        </w:rPr>
        <w:t>:</w:t>
      </w:r>
    </w:p>
    <w:p w14:paraId="04F3A1C3" w14:textId="5883650B" w:rsidR="00C9387D" w:rsidRPr="00C9387D" w:rsidRDefault="00A77FF7" w:rsidP="00A77FF7">
      <w:pPr>
        <w:pStyle w:val="SingleTxt"/>
        <w:rPr>
          <w:lang w:val="fr-FR"/>
        </w:rPr>
      </w:pPr>
      <w:r>
        <w:rPr>
          <w:lang w:val="fr-FR"/>
        </w:rPr>
        <w:lastRenderedPageBreak/>
        <w:tab/>
        <w:t>a)</w:t>
      </w:r>
      <w:r>
        <w:rPr>
          <w:lang w:val="fr-FR"/>
        </w:rPr>
        <w:tab/>
      </w:r>
      <w:r w:rsidR="00C9387D" w:rsidRPr="00A77FF7">
        <w:t>Bien que ce ne soit pas un droit, l</w:t>
      </w:r>
      <w:r w:rsidR="004933C3" w:rsidRPr="00A77FF7">
        <w:t>’</w:t>
      </w:r>
      <w:r w:rsidR="00C9387D" w:rsidRPr="00A77FF7">
        <w:t>aménagement des modalités de travail va dans le sens des efforts que fait l</w:t>
      </w:r>
      <w:r w:rsidR="004933C3" w:rsidRPr="00A77FF7">
        <w:t>’</w:t>
      </w:r>
      <w:r w:rsidR="00C9387D" w:rsidRPr="00A77FF7">
        <w:t>Organisation pour être à l</w:t>
      </w:r>
      <w:r w:rsidR="004933C3" w:rsidRPr="00A77FF7">
        <w:t>’</w:t>
      </w:r>
      <w:r w:rsidR="00C9387D" w:rsidRPr="00A77FF7">
        <w:t>écoute, n</w:t>
      </w:r>
      <w:r w:rsidR="004933C3" w:rsidRPr="00A77FF7">
        <w:t>’</w:t>
      </w:r>
      <w:r w:rsidR="00C9387D" w:rsidRPr="00A77FF7">
        <w:t xml:space="preserve">exclure personne et réaliser la </w:t>
      </w:r>
      <w:r w:rsidR="00C9387D" w:rsidRPr="00C9387D">
        <w:rPr>
          <w:lang w:val="fr-FR"/>
        </w:rPr>
        <w:t>parité des sexes</w:t>
      </w:r>
      <w:r w:rsidR="004933C3">
        <w:rPr>
          <w:lang w:val="fr-FR"/>
        </w:rPr>
        <w:t> </w:t>
      </w:r>
      <w:r w:rsidR="00C9387D" w:rsidRPr="00C9387D">
        <w:rPr>
          <w:lang w:val="fr-FR"/>
        </w:rPr>
        <w:t>; tant les fonctionnaires que le personnel d</w:t>
      </w:r>
      <w:r w:rsidR="004933C3">
        <w:rPr>
          <w:lang w:val="fr-FR"/>
        </w:rPr>
        <w:t>’</w:t>
      </w:r>
      <w:r w:rsidR="00C9387D" w:rsidRPr="00C9387D">
        <w:rPr>
          <w:lang w:val="fr-FR"/>
        </w:rPr>
        <w:t>encadrement devraient donc le considérer favorablement, comme un outil utile, lorsque les nécessités du service le permettent ;</w:t>
      </w:r>
    </w:p>
    <w:p w14:paraId="119170BD" w14:textId="789A81E1" w:rsidR="00C9387D" w:rsidRPr="00C9387D" w:rsidRDefault="00A77FF7" w:rsidP="004933C3">
      <w:pPr>
        <w:pStyle w:val="SingleTxt"/>
        <w:rPr>
          <w:lang w:val="fr-FR"/>
        </w:rPr>
      </w:pPr>
      <w:r>
        <w:rPr>
          <w:lang w:val="fr-FR"/>
        </w:rPr>
        <w:tab/>
        <w:t>b)</w:t>
      </w:r>
      <w:r>
        <w:rPr>
          <w:lang w:val="fr-FR"/>
        </w:rPr>
        <w:tab/>
      </w:r>
      <w:r w:rsidR="00C9387D" w:rsidRPr="00C9387D">
        <w:rPr>
          <w:lang w:val="fr-FR"/>
        </w:rPr>
        <w:t>L</w:t>
      </w:r>
      <w:r w:rsidR="004933C3">
        <w:rPr>
          <w:lang w:val="fr-FR"/>
        </w:rPr>
        <w:t>’</w:t>
      </w:r>
      <w:r w:rsidR="00C9387D" w:rsidRPr="00C9387D">
        <w:rPr>
          <w:lang w:val="fr-FR"/>
        </w:rPr>
        <w:t>aménagement des modalités de travail procède d</w:t>
      </w:r>
      <w:r w:rsidR="004933C3">
        <w:rPr>
          <w:lang w:val="fr-FR"/>
        </w:rPr>
        <w:t>’une démarche volontaire </w:t>
      </w:r>
      <w:r w:rsidR="00C9387D" w:rsidRPr="00C9387D">
        <w:rPr>
          <w:lang w:val="fr-FR"/>
        </w:rPr>
        <w:t>; il doit être convenu entre les fonctionnaires et le personnel d</w:t>
      </w:r>
      <w:r w:rsidR="004933C3">
        <w:rPr>
          <w:lang w:val="fr-FR"/>
        </w:rPr>
        <w:t>’</w:t>
      </w:r>
      <w:r w:rsidR="00C9387D" w:rsidRPr="00C9387D">
        <w:rPr>
          <w:lang w:val="fr-FR"/>
        </w:rPr>
        <w:t>encadrement, comme les premiers notateurs</w:t>
      </w:r>
      <w:r w:rsidR="00C9387D" w:rsidRPr="009C46D7">
        <w:rPr>
          <w:vertAlign w:val="superscript"/>
          <w:lang w:val="fr-FR"/>
        </w:rPr>
        <w:footnoteReference w:id="1"/>
      </w:r>
      <w:r w:rsidR="00C9387D" w:rsidRPr="00C9387D">
        <w:rPr>
          <w:lang w:val="fr-FR"/>
        </w:rPr>
        <w:t xml:space="preserve"> ; </w:t>
      </w:r>
    </w:p>
    <w:p w14:paraId="139EAD4C" w14:textId="1F31A80B" w:rsidR="00C9387D" w:rsidRPr="00C9387D" w:rsidRDefault="00A77FF7" w:rsidP="004933C3">
      <w:pPr>
        <w:pStyle w:val="SingleTxt"/>
        <w:rPr>
          <w:lang w:val="fr-FR"/>
        </w:rPr>
      </w:pPr>
      <w:r>
        <w:rPr>
          <w:lang w:val="fr-FR"/>
        </w:rPr>
        <w:tab/>
        <w:t>c)</w:t>
      </w:r>
      <w:r>
        <w:rPr>
          <w:lang w:val="fr-FR"/>
        </w:rPr>
        <w:tab/>
      </w:r>
      <w:r w:rsidR="00C9387D" w:rsidRPr="00C9387D">
        <w:rPr>
          <w:lang w:val="fr-FR"/>
        </w:rPr>
        <w:t>Le personnel d</w:t>
      </w:r>
      <w:r w:rsidR="004933C3">
        <w:rPr>
          <w:lang w:val="fr-FR"/>
        </w:rPr>
        <w:t>’</w:t>
      </w:r>
      <w:r w:rsidR="00C9387D" w:rsidRPr="00C9387D">
        <w:rPr>
          <w:lang w:val="fr-FR"/>
        </w:rPr>
        <w:t>encadrement examine avec les fonctionnaires les possibilités dont ceux-ci peuvent bénéficier. Il est acquis que certains emplois ou certaines périodes peuvent ne pas se prêter à l</w:t>
      </w:r>
      <w:r w:rsidR="004933C3">
        <w:rPr>
          <w:lang w:val="fr-FR"/>
        </w:rPr>
        <w:t>’</w:t>
      </w:r>
      <w:r w:rsidR="00C9387D" w:rsidRPr="00C9387D">
        <w:rPr>
          <w:lang w:val="fr-FR"/>
        </w:rPr>
        <w:t>aménagement des modalités de travail</w:t>
      </w:r>
      <w:r w:rsidR="004933C3">
        <w:rPr>
          <w:lang w:val="fr-FR"/>
        </w:rPr>
        <w:t> </w:t>
      </w:r>
      <w:r w:rsidR="00C9387D" w:rsidRPr="00C9387D">
        <w:rPr>
          <w:lang w:val="fr-FR"/>
        </w:rPr>
        <w:t xml:space="preserve">; </w:t>
      </w:r>
    </w:p>
    <w:p w14:paraId="496AFDA6" w14:textId="789E2B92" w:rsidR="00C9387D" w:rsidRPr="00C9387D" w:rsidRDefault="00A77FF7" w:rsidP="004933C3">
      <w:pPr>
        <w:pStyle w:val="SingleTxt"/>
        <w:rPr>
          <w:lang w:val="fr-FR"/>
        </w:rPr>
      </w:pPr>
      <w:r>
        <w:rPr>
          <w:lang w:val="fr-FR"/>
        </w:rPr>
        <w:tab/>
        <w:t>d)</w:t>
      </w:r>
      <w:r>
        <w:rPr>
          <w:lang w:val="fr-FR"/>
        </w:rPr>
        <w:tab/>
      </w:r>
      <w:r w:rsidR="00C9387D" w:rsidRPr="00C9387D">
        <w:rPr>
          <w:lang w:val="fr-FR"/>
        </w:rPr>
        <w:t>Le fonctionnaire qui souhaite bénéficier d</w:t>
      </w:r>
      <w:r w:rsidR="004933C3">
        <w:rPr>
          <w:lang w:val="fr-FR"/>
        </w:rPr>
        <w:t>’</w:t>
      </w:r>
      <w:r w:rsidR="00C9387D" w:rsidRPr="00C9387D">
        <w:rPr>
          <w:lang w:val="fr-FR"/>
        </w:rPr>
        <w:t>un aménagement de ses modalités de travail en demande l</w:t>
      </w:r>
      <w:r w:rsidR="004933C3">
        <w:rPr>
          <w:lang w:val="fr-FR"/>
        </w:rPr>
        <w:t>’</w:t>
      </w:r>
      <w:r w:rsidR="00C9387D" w:rsidRPr="00C9387D">
        <w:rPr>
          <w:lang w:val="fr-FR"/>
        </w:rPr>
        <w:t>autorisation par écrit à son supérieur hiérarchique. Lorsqu</w:t>
      </w:r>
      <w:r w:rsidR="004933C3">
        <w:rPr>
          <w:lang w:val="fr-FR"/>
        </w:rPr>
        <w:t>’</w:t>
      </w:r>
      <w:r w:rsidR="00C9387D" w:rsidRPr="00C9387D">
        <w:rPr>
          <w:lang w:val="fr-FR"/>
        </w:rPr>
        <w:t>il rejette une demande, le supérieur hiérarchique s</w:t>
      </w:r>
      <w:r w:rsidR="004933C3">
        <w:rPr>
          <w:lang w:val="fr-FR"/>
        </w:rPr>
        <w:t>’</w:t>
      </w:r>
      <w:r w:rsidR="00C9387D" w:rsidRPr="00C9387D">
        <w:rPr>
          <w:lang w:val="fr-FR"/>
        </w:rPr>
        <w:t>en explique par écrit. Le supérieur hiérarchique peut en tout temps suspendre ou annuler une autorisation d</w:t>
      </w:r>
      <w:r w:rsidR="004933C3">
        <w:rPr>
          <w:lang w:val="fr-FR"/>
        </w:rPr>
        <w:t>’</w:t>
      </w:r>
      <w:r w:rsidR="00C9387D" w:rsidRPr="00C9387D">
        <w:rPr>
          <w:lang w:val="fr-FR"/>
        </w:rPr>
        <w:t>aménagement des modalités de travail si les nécessités du service le justifient ou si la performance du fonctionnaire ne donne pas satisfaction. Le fonctionnaire est informé par écrit des motifs de la suspension ou de l</w:t>
      </w:r>
      <w:r w:rsidR="004933C3">
        <w:rPr>
          <w:lang w:val="fr-FR"/>
        </w:rPr>
        <w:t>’</w:t>
      </w:r>
      <w:r w:rsidR="00C9387D" w:rsidRPr="00C9387D">
        <w:rPr>
          <w:lang w:val="fr-FR"/>
        </w:rPr>
        <w:t>annulation. Le Bureau des ressources humaines suit l</w:t>
      </w:r>
      <w:r w:rsidR="004933C3">
        <w:rPr>
          <w:lang w:val="fr-FR"/>
        </w:rPr>
        <w:t>’</w:t>
      </w:r>
      <w:r w:rsidR="00C9387D" w:rsidRPr="00C9387D">
        <w:rPr>
          <w:lang w:val="fr-FR"/>
        </w:rPr>
        <w:t>application de la présente circulaire et rend compte régulièrement au Secrétaire général du recours aux différentes formules d</w:t>
      </w:r>
      <w:r w:rsidR="004933C3">
        <w:rPr>
          <w:lang w:val="fr-FR"/>
        </w:rPr>
        <w:t>’</w:t>
      </w:r>
      <w:r w:rsidR="00C9387D" w:rsidRPr="00C9387D">
        <w:rPr>
          <w:lang w:val="fr-FR"/>
        </w:rPr>
        <w:t>aménagement des modalités de travail ;</w:t>
      </w:r>
    </w:p>
    <w:p w14:paraId="28919642" w14:textId="4DAE367E" w:rsidR="00C9387D" w:rsidRPr="00C9387D" w:rsidRDefault="000A40A4" w:rsidP="004933C3">
      <w:pPr>
        <w:pStyle w:val="SingleTxt"/>
        <w:rPr>
          <w:lang w:val="fr-FR"/>
        </w:rPr>
      </w:pPr>
      <w:r>
        <w:rPr>
          <w:lang w:val="fr-FR"/>
        </w:rPr>
        <w:tab/>
        <w:t>e)</w:t>
      </w:r>
      <w:r>
        <w:rPr>
          <w:lang w:val="fr-FR"/>
        </w:rPr>
        <w:tab/>
      </w:r>
      <w:r w:rsidR="00C9387D" w:rsidRPr="00C9387D">
        <w:rPr>
          <w:lang w:val="fr-FR"/>
        </w:rPr>
        <w:t>Les modalités de travail précises et la durée de l</w:t>
      </w:r>
      <w:r w:rsidR="004933C3">
        <w:rPr>
          <w:lang w:val="fr-FR"/>
        </w:rPr>
        <w:t>’</w:t>
      </w:r>
      <w:r w:rsidR="00C9387D" w:rsidRPr="00C9387D">
        <w:rPr>
          <w:lang w:val="fr-FR"/>
        </w:rPr>
        <w:t>aménagement approuvées sont consignées dans un accord entre le fonctionnaire et son supérieur hiérarchique. La combinaison de plusieurs modalités de travail aménagées peut être autorisée. Aucun accord n</w:t>
      </w:r>
      <w:r w:rsidR="004933C3">
        <w:rPr>
          <w:lang w:val="fr-FR"/>
        </w:rPr>
        <w:t>’</w:t>
      </w:r>
      <w:r w:rsidR="00C9387D" w:rsidRPr="00C9387D">
        <w:rPr>
          <w:lang w:val="fr-FR"/>
        </w:rPr>
        <w:t>est nécessaire lorsque l</w:t>
      </w:r>
      <w:r w:rsidR="004933C3">
        <w:rPr>
          <w:lang w:val="fr-FR"/>
        </w:rPr>
        <w:t>’</w:t>
      </w:r>
      <w:r w:rsidR="00C9387D" w:rsidRPr="00C9387D">
        <w:rPr>
          <w:lang w:val="fr-FR"/>
        </w:rPr>
        <w:t>aménagement est ponctuel et lié à des situations particulières ;</w:t>
      </w:r>
    </w:p>
    <w:p w14:paraId="743E2A5B" w14:textId="4D6BBB04" w:rsidR="00C9387D" w:rsidRPr="00C9387D" w:rsidRDefault="000A40A4" w:rsidP="004933C3">
      <w:pPr>
        <w:pStyle w:val="SingleTxt"/>
        <w:rPr>
          <w:lang w:val="fr-FR"/>
        </w:rPr>
      </w:pPr>
      <w:r>
        <w:rPr>
          <w:lang w:val="fr-FR"/>
        </w:rPr>
        <w:tab/>
        <w:t>f)</w:t>
      </w:r>
      <w:r>
        <w:rPr>
          <w:lang w:val="fr-FR"/>
        </w:rPr>
        <w:tab/>
      </w:r>
      <w:r w:rsidR="00C9387D" w:rsidRPr="00C9387D">
        <w:rPr>
          <w:lang w:val="fr-FR"/>
        </w:rPr>
        <w:t>Il incombe à chacun de tirer le meilleur parti possible de la flexibilité, tout en prévenant les problèmes éventuels. Lorsqu</w:t>
      </w:r>
      <w:r w:rsidR="004933C3">
        <w:rPr>
          <w:lang w:val="fr-FR"/>
        </w:rPr>
        <w:t>’</w:t>
      </w:r>
      <w:r w:rsidR="00C9387D" w:rsidRPr="00C9387D">
        <w:rPr>
          <w:lang w:val="fr-FR"/>
        </w:rPr>
        <w:t>un fonctionnaire bénéficie d</w:t>
      </w:r>
      <w:r w:rsidR="004933C3">
        <w:rPr>
          <w:lang w:val="fr-FR"/>
        </w:rPr>
        <w:t>’</w:t>
      </w:r>
      <w:r w:rsidR="00C9387D" w:rsidRPr="00C9387D">
        <w:rPr>
          <w:lang w:val="fr-FR"/>
        </w:rPr>
        <w:t>un aménagement des modalités de travail, sa productivité et la qualité de ses prestations doivent se maintenir à un niveau que son supérieur hiérarchique estime satisfaisant. Les premiers notateurs devraient rappeler clairement aux fonctionnaires leurs responsabilités et les résultats attendus qui ont été convenus. Les obligations en matière de gestion de la performance énoncées dans l</w:t>
      </w:r>
      <w:r w:rsidR="004933C3">
        <w:rPr>
          <w:lang w:val="fr-FR"/>
        </w:rPr>
        <w:t>’</w:t>
      </w:r>
      <w:r w:rsidR="00C9387D" w:rsidRPr="00C9387D">
        <w:rPr>
          <w:lang w:val="fr-FR"/>
        </w:rPr>
        <w:t xml:space="preserve">instruction administrative </w:t>
      </w:r>
      <w:hyperlink r:id="rId14" w:history="1">
        <w:r w:rsidR="00C9387D" w:rsidRPr="004933C3">
          <w:rPr>
            <w:rStyle w:val="Hyperlink"/>
            <w:lang w:val="fr-FR"/>
          </w:rPr>
          <w:t>ST/AI/2010/5</w:t>
        </w:r>
      </w:hyperlink>
      <w:r w:rsidR="00C9387D" w:rsidRPr="00C9387D">
        <w:rPr>
          <w:lang w:val="fr-FR"/>
        </w:rPr>
        <w:t xml:space="preserve"> sont rappelées aux premiers notateurs et aux fonctionnaires concernés ;</w:t>
      </w:r>
    </w:p>
    <w:p w14:paraId="0FEBD0BC" w14:textId="4E78F653" w:rsidR="00C9387D" w:rsidRPr="00C9387D" w:rsidRDefault="000A40A4" w:rsidP="004933C3">
      <w:pPr>
        <w:pStyle w:val="SingleTxt"/>
        <w:rPr>
          <w:lang w:val="fr-FR"/>
        </w:rPr>
      </w:pPr>
      <w:r>
        <w:rPr>
          <w:lang w:val="fr-FR"/>
        </w:rPr>
        <w:tab/>
        <w:t>g)</w:t>
      </w:r>
      <w:r>
        <w:rPr>
          <w:lang w:val="fr-FR"/>
        </w:rPr>
        <w:tab/>
      </w:r>
      <w:r w:rsidR="00C9387D" w:rsidRPr="00C9387D">
        <w:rPr>
          <w:lang w:val="fr-FR"/>
        </w:rPr>
        <w:t>L</w:t>
      </w:r>
      <w:r w:rsidR="004933C3">
        <w:rPr>
          <w:lang w:val="fr-FR"/>
        </w:rPr>
        <w:t>’</w:t>
      </w:r>
      <w:r w:rsidR="00C9387D" w:rsidRPr="00C9387D">
        <w:rPr>
          <w:lang w:val="fr-FR"/>
        </w:rPr>
        <w:t>aménagement des modalités de travail ne doit entraîner aucun coût supplémentaire pour l</w:t>
      </w:r>
      <w:r w:rsidR="004933C3">
        <w:rPr>
          <w:lang w:val="fr-FR"/>
        </w:rPr>
        <w:t>’</w:t>
      </w:r>
      <w:r w:rsidR="00C9387D" w:rsidRPr="00C9387D">
        <w:rPr>
          <w:lang w:val="fr-FR"/>
        </w:rPr>
        <w:t xml:space="preserve">Organisation ; </w:t>
      </w:r>
    </w:p>
    <w:p w14:paraId="64B37085" w14:textId="16A524FC" w:rsidR="00C9387D" w:rsidRPr="00C9387D" w:rsidRDefault="000A40A4" w:rsidP="004933C3">
      <w:pPr>
        <w:pStyle w:val="SingleTxt"/>
        <w:rPr>
          <w:lang w:val="fr-FR"/>
        </w:rPr>
      </w:pPr>
      <w:r>
        <w:rPr>
          <w:lang w:val="fr-FR"/>
        </w:rPr>
        <w:tab/>
        <w:t>h)</w:t>
      </w:r>
      <w:r>
        <w:rPr>
          <w:lang w:val="fr-FR"/>
        </w:rPr>
        <w:tab/>
      </w:r>
      <w:r w:rsidR="00C9387D" w:rsidRPr="00C9387D">
        <w:rPr>
          <w:lang w:val="fr-FR"/>
        </w:rPr>
        <w:t>L</w:t>
      </w:r>
      <w:r w:rsidR="004933C3">
        <w:rPr>
          <w:lang w:val="fr-FR"/>
        </w:rPr>
        <w:t>’</w:t>
      </w:r>
      <w:r w:rsidR="00C9387D" w:rsidRPr="00C9387D">
        <w:rPr>
          <w:lang w:val="fr-FR"/>
        </w:rPr>
        <w:t>aménagement des modalités de travail exige de toutes les parties concernées une planification rigoureuse. Le service administratif compétent, sous la direction générale du Bureau des ressources humaines, fournit l</w:t>
      </w:r>
      <w:r w:rsidR="004933C3">
        <w:rPr>
          <w:lang w:val="fr-FR"/>
        </w:rPr>
        <w:t>’</w:t>
      </w:r>
      <w:r w:rsidR="00C9387D" w:rsidRPr="00C9387D">
        <w:rPr>
          <w:lang w:val="fr-FR"/>
        </w:rPr>
        <w:t>assistance nécessaire aux fonctionnaires concernés et à leurs supérieurs hiérarchiques.</w:t>
      </w:r>
    </w:p>
    <w:p w14:paraId="52F08F4F" w14:textId="0AE911B5" w:rsidR="00C9387D" w:rsidRPr="00C9387D" w:rsidRDefault="000A40A4" w:rsidP="004933C3">
      <w:pPr>
        <w:pStyle w:val="SingleTxt"/>
        <w:rPr>
          <w:lang w:val="fr-FR"/>
        </w:rPr>
      </w:pPr>
      <w:r>
        <w:rPr>
          <w:lang w:val="fr-FR"/>
        </w:rPr>
        <w:t>2.2</w:t>
      </w:r>
      <w:r>
        <w:rPr>
          <w:lang w:val="fr-FR"/>
        </w:rPr>
        <w:tab/>
      </w:r>
      <w:r w:rsidR="00C9387D" w:rsidRPr="00C9387D">
        <w:rPr>
          <w:lang w:val="fr-FR"/>
        </w:rPr>
        <w:t>Certaines formules d</w:t>
      </w:r>
      <w:r w:rsidR="004933C3">
        <w:rPr>
          <w:lang w:val="fr-FR"/>
        </w:rPr>
        <w:t>’</w:t>
      </w:r>
      <w:r w:rsidR="00C9387D" w:rsidRPr="00C9387D">
        <w:rPr>
          <w:lang w:val="fr-FR"/>
        </w:rPr>
        <w:t>aménagement peuvent être conseillées par le Directeur du Service médical ou un médecin agréé, comme moyens de tenir compte d</w:t>
      </w:r>
      <w:r w:rsidR="004933C3">
        <w:rPr>
          <w:lang w:val="fr-FR"/>
        </w:rPr>
        <w:t>’</w:t>
      </w:r>
      <w:r w:rsidR="00C9387D" w:rsidRPr="00C9387D">
        <w:rPr>
          <w:lang w:val="fr-FR"/>
        </w:rPr>
        <w:t>exemptions ou de limitations prescrites pour raisons médicales dans le cadre d</w:t>
      </w:r>
      <w:r w:rsidR="004933C3">
        <w:rPr>
          <w:lang w:val="fr-FR"/>
        </w:rPr>
        <w:t>’</w:t>
      </w:r>
      <w:r w:rsidR="00C9387D" w:rsidRPr="00C9387D">
        <w:rPr>
          <w:lang w:val="fr-FR"/>
        </w:rPr>
        <w:t>un programme de retour au travail d</w:t>
      </w:r>
      <w:r w:rsidR="004933C3">
        <w:rPr>
          <w:lang w:val="fr-FR"/>
        </w:rPr>
        <w:t>’</w:t>
      </w:r>
      <w:r w:rsidR="00C9387D" w:rsidRPr="00C9387D">
        <w:rPr>
          <w:lang w:val="fr-FR"/>
        </w:rPr>
        <w:t>une durée limitée. Eu égard aux principes généraux de l</w:t>
      </w:r>
      <w:r w:rsidR="004933C3">
        <w:rPr>
          <w:lang w:val="fr-FR"/>
        </w:rPr>
        <w:t>’</w:t>
      </w:r>
      <w:r w:rsidR="00C9387D" w:rsidRPr="00C9387D">
        <w:rPr>
          <w:lang w:val="fr-FR"/>
        </w:rPr>
        <w:t>aménagement raisonnable en cas d</w:t>
      </w:r>
      <w:r w:rsidR="004933C3">
        <w:rPr>
          <w:lang w:val="fr-FR"/>
        </w:rPr>
        <w:t>’</w:t>
      </w:r>
      <w:r w:rsidR="00C9387D" w:rsidRPr="00C9387D">
        <w:rPr>
          <w:lang w:val="fr-FR"/>
        </w:rPr>
        <w:t>incapacité de courte durée, le supérieur hiérarchique qui rejette un tel avis médical est tenu d</w:t>
      </w:r>
      <w:r w:rsidR="004933C3">
        <w:rPr>
          <w:lang w:val="fr-FR"/>
        </w:rPr>
        <w:t>’</w:t>
      </w:r>
      <w:r w:rsidR="00C9387D" w:rsidRPr="00C9387D">
        <w:rPr>
          <w:lang w:val="fr-FR"/>
        </w:rPr>
        <w:t xml:space="preserve">établir que les mesures </w:t>
      </w:r>
      <w:r w:rsidR="00C9387D" w:rsidRPr="00C9387D">
        <w:rPr>
          <w:lang w:val="fr-FR"/>
        </w:rPr>
        <w:lastRenderedPageBreak/>
        <w:t>d</w:t>
      </w:r>
      <w:r w:rsidR="004933C3">
        <w:rPr>
          <w:lang w:val="fr-FR"/>
        </w:rPr>
        <w:t>’</w:t>
      </w:r>
      <w:r w:rsidR="00C9387D" w:rsidRPr="00C9387D">
        <w:rPr>
          <w:lang w:val="fr-FR"/>
        </w:rPr>
        <w:t>aménagement demandées imposent une charge disproportionnée ou indue au service.</w:t>
      </w:r>
    </w:p>
    <w:p w14:paraId="71B6A03D" w14:textId="2A5903C1" w:rsidR="00C9387D" w:rsidRPr="000A40A4" w:rsidRDefault="00C9387D" w:rsidP="000A40A4">
      <w:pPr>
        <w:pStyle w:val="SingleTxt"/>
        <w:spacing w:after="0" w:line="120" w:lineRule="exact"/>
        <w:rPr>
          <w:sz w:val="10"/>
          <w:lang w:val="fr-FR"/>
        </w:rPr>
      </w:pPr>
    </w:p>
    <w:p w14:paraId="33F1C307" w14:textId="2D3836D8" w:rsidR="000A40A4" w:rsidRP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3</w:t>
      </w:r>
    </w:p>
    <w:p w14:paraId="062E3C80" w14:textId="541138EC"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Formules d</w:t>
      </w:r>
      <w:r w:rsidR="004933C3">
        <w:rPr>
          <w:lang w:val="fr-FR"/>
        </w:rPr>
        <w:t>’</w:t>
      </w:r>
      <w:r w:rsidR="00C9387D" w:rsidRPr="00C9387D">
        <w:rPr>
          <w:lang w:val="fr-FR"/>
        </w:rPr>
        <w:t>aménagement des modalités de travail</w:t>
      </w:r>
    </w:p>
    <w:p w14:paraId="33C185FC" w14:textId="223DDCA1" w:rsidR="000A40A4" w:rsidRPr="000A40A4" w:rsidRDefault="000A40A4" w:rsidP="000A40A4">
      <w:pPr>
        <w:pStyle w:val="SingleTxt"/>
        <w:spacing w:after="0" w:line="120" w:lineRule="exact"/>
        <w:rPr>
          <w:sz w:val="10"/>
          <w:lang w:val="fr-FR"/>
        </w:rPr>
      </w:pPr>
    </w:p>
    <w:p w14:paraId="36D3A330" w14:textId="22C66012"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Horaire de travail décalé</w:t>
      </w:r>
    </w:p>
    <w:p w14:paraId="2F6069FB" w14:textId="20CE9B0D" w:rsidR="000A40A4" w:rsidRPr="000A40A4" w:rsidRDefault="000A40A4" w:rsidP="000A40A4">
      <w:pPr>
        <w:pStyle w:val="SingleTxt"/>
        <w:spacing w:after="0" w:line="120" w:lineRule="exact"/>
        <w:rPr>
          <w:sz w:val="10"/>
          <w:lang w:val="fr-FR"/>
        </w:rPr>
      </w:pPr>
    </w:p>
    <w:p w14:paraId="7028341D" w14:textId="55D562D3" w:rsidR="00C9387D" w:rsidRDefault="000A40A4" w:rsidP="004933C3">
      <w:pPr>
        <w:pStyle w:val="SingleTxt"/>
        <w:rPr>
          <w:lang w:val="fr-FR"/>
        </w:rPr>
      </w:pPr>
      <w:r>
        <w:rPr>
          <w:lang w:val="fr-FR"/>
        </w:rPr>
        <w:t>3.1</w:t>
      </w:r>
      <w:r>
        <w:rPr>
          <w:lang w:val="fr-FR"/>
        </w:rPr>
        <w:tab/>
      </w:r>
      <w:r w:rsidR="00C9387D" w:rsidRPr="00C9387D">
        <w:rPr>
          <w:lang w:val="fr-FR"/>
        </w:rPr>
        <w:t>Les fonctionnaires peuvent commencer ou finir leur journée de travail à d</w:t>
      </w:r>
      <w:r w:rsidR="004933C3">
        <w:rPr>
          <w:lang w:val="fr-FR"/>
        </w:rPr>
        <w:t>’</w:t>
      </w:r>
      <w:r w:rsidR="00C9387D" w:rsidRPr="00C9387D">
        <w:rPr>
          <w:lang w:val="fr-FR"/>
        </w:rPr>
        <w:t>autres heures que celles prescrites pour leur lieu d</w:t>
      </w:r>
      <w:r w:rsidR="004933C3">
        <w:rPr>
          <w:lang w:val="fr-FR"/>
        </w:rPr>
        <w:t>’</w:t>
      </w:r>
      <w:r w:rsidR="00C9387D" w:rsidRPr="00C9387D">
        <w:rPr>
          <w:lang w:val="fr-FR"/>
        </w:rPr>
        <w:t>affectation, à condition qu</w:t>
      </w:r>
      <w:r w:rsidR="004933C3">
        <w:rPr>
          <w:lang w:val="fr-FR"/>
        </w:rPr>
        <w:t>’</w:t>
      </w:r>
      <w:r w:rsidR="00C9387D" w:rsidRPr="00C9387D">
        <w:rPr>
          <w:lang w:val="fr-FR"/>
        </w:rPr>
        <w:t>ils travaillent le nombre d</w:t>
      </w:r>
      <w:r w:rsidR="004933C3">
        <w:rPr>
          <w:lang w:val="fr-FR"/>
        </w:rPr>
        <w:t>’</w:t>
      </w:r>
      <w:r w:rsidR="00C9387D" w:rsidRPr="00C9387D">
        <w:rPr>
          <w:lang w:val="fr-FR"/>
        </w:rPr>
        <w:t>heures prévu et qu</w:t>
      </w:r>
      <w:r w:rsidR="004933C3">
        <w:rPr>
          <w:lang w:val="fr-FR"/>
        </w:rPr>
        <w:t>’</w:t>
      </w:r>
      <w:r w:rsidR="00C9387D" w:rsidRPr="00C9387D">
        <w:rPr>
          <w:lang w:val="fr-FR"/>
        </w:rPr>
        <w:t>ils soient présents pendant la plage horaire fixe. Le temps de travail manquant pour la journée doit être effectué soit avant la plage horaire fixe, soit après, soit en partie avant et en partie après.</w:t>
      </w:r>
    </w:p>
    <w:p w14:paraId="763D0BE5" w14:textId="1EFE48D4" w:rsidR="000A40A4" w:rsidRPr="000A40A4" w:rsidRDefault="000A40A4" w:rsidP="000A40A4">
      <w:pPr>
        <w:pStyle w:val="SingleTxt"/>
        <w:spacing w:after="0" w:line="120" w:lineRule="exact"/>
        <w:rPr>
          <w:sz w:val="10"/>
          <w:lang w:val="fr-FR"/>
        </w:rPr>
      </w:pPr>
    </w:p>
    <w:p w14:paraId="516427E8" w14:textId="60903C4A"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Horaire de travail comprimé</w:t>
      </w:r>
    </w:p>
    <w:p w14:paraId="1865D7B3" w14:textId="1610A853" w:rsidR="000A40A4" w:rsidRPr="000A40A4" w:rsidRDefault="000A40A4" w:rsidP="000A40A4">
      <w:pPr>
        <w:pStyle w:val="SingleTxt"/>
        <w:spacing w:after="0" w:line="120" w:lineRule="exact"/>
        <w:rPr>
          <w:sz w:val="10"/>
          <w:lang w:val="fr-FR"/>
        </w:rPr>
      </w:pPr>
    </w:p>
    <w:p w14:paraId="0A5BD45D" w14:textId="4463FDEB" w:rsidR="00C9387D" w:rsidRPr="00C9387D" w:rsidRDefault="000A40A4" w:rsidP="004933C3">
      <w:pPr>
        <w:pStyle w:val="SingleTxt"/>
        <w:rPr>
          <w:lang w:val="fr-FR"/>
        </w:rPr>
      </w:pPr>
      <w:r>
        <w:rPr>
          <w:lang w:val="fr-FR"/>
        </w:rPr>
        <w:t>3.2</w:t>
      </w:r>
      <w:r>
        <w:rPr>
          <w:lang w:val="fr-FR"/>
        </w:rPr>
        <w:tab/>
      </w:r>
      <w:r w:rsidR="00C9387D" w:rsidRPr="00C9387D">
        <w:rPr>
          <w:lang w:val="fr-FR"/>
        </w:rPr>
        <w:t xml:space="preserve">Temps de travail de </w:t>
      </w:r>
      <w:proofErr w:type="gramStart"/>
      <w:r w:rsidR="00C9387D" w:rsidRPr="00C9387D">
        <w:rPr>
          <w:lang w:val="fr-FR"/>
        </w:rPr>
        <w:t>dix jours réparti</w:t>
      </w:r>
      <w:proofErr w:type="gramEnd"/>
      <w:r w:rsidR="00C9387D" w:rsidRPr="00C9387D">
        <w:rPr>
          <w:lang w:val="fr-FR"/>
        </w:rPr>
        <w:t xml:space="preserve"> sur neuf</w:t>
      </w:r>
      <w:r w:rsidR="004933C3">
        <w:rPr>
          <w:lang w:val="fr-FR"/>
        </w:rPr>
        <w:t> </w:t>
      </w:r>
      <w:r w:rsidR="00C9387D" w:rsidRPr="00C9387D">
        <w:rPr>
          <w:lang w:val="fr-FR"/>
        </w:rPr>
        <w:t>: La totalité des heures qui, normalement, auraient été ouvrées en 10 jours est répartie sur 9 jours. Cette nouvelle répartition permet aux fonctionnaires de prendre un jour de congé une semaine sur deux. Compte tenu de l</w:t>
      </w:r>
      <w:r w:rsidR="004933C3">
        <w:rPr>
          <w:lang w:val="fr-FR"/>
        </w:rPr>
        <w:t>’</w:t>
      </w:r>
      <w:r w:rsidR="00C9387D" w:rsidRPr="00C9387D">
        <w:rPr>
          <w:lang w:val="fr-FR"/>
        </w:rPr>
        <w:t>obligation de faire face comme il se doit aux nécessités du service, le fonctionnaire et son supérieur hiérarchique conviennent du jour de la période de 10 jours normale qui pourra être pris en congé. Ce jour de congé est pris pendant ladite période et ne peut être accumulé.</w:t>
      </w:r>
    </w:p>
    <w:p w14:paraId="7FEEA888" w14:textId="3D9B9F4E" w:rsidR="00C9387D" w:rsidRDefault="000A40A4" w:rsidP="004933C3">
      <w:pPr>
        <w:pStyle w:val="SingleTxt"/>
        <w:rPr>
          <w:lang w:val="fr-FR"/>
        </w:rPr>
      </w:pPr>
      <w:r>
        <w:rPr>
          <w:lang w:val="fr-FR"/>
        </w:rPr>
        <w:t>3.3</w:t>
      </w:r>
      <w:r>
        <w:rPr>
          <w:lang w:val="fr-FR"/>
        </w:rPr>
        <w:tab/>
      </w:r>
      <w:r w:rsidR="00C9387D" w:rsidRPr="00C9387D">
        <w:rPr>
          <w:lang w:val="fr-FR"/>
        </w:rPr>
        <w:t xml:space="preserve">Temps de travail de </w:t>
      </w:r>
      <w:proofErr w:type="gramStart"/>
      <w:r w:rsidR="00C9387D" w:rsidRPr="00C9387D">
        <w:rPr>
          <w:lang w:val="fr-FR"/>
        </w:rPr>
        <w:t>cinq jours réparti</w:t>
      </w:r>
      <w:proofErr w:type="gramEnd"/>
      <w:r w:rsidR="00C9387D" w:rsidRPr="00C9387D">
        <w:rPr>
          <w:lang w:val="fr-FR"/>
        </w:rPr>
        <w:t xml:space="preserve"> sur quatre et demi</w:t>
      </w:r>
      <w:r w:rsidR="004933C3">
        <w:rPr>
          <w:lang w:val="fr-FR"/>
        </w:rPr>
        <w:t> </w:t>
      </w:r>
      <w:r w:rsidR="00C9387D" w:rsidRPr="00C9387D">
        <w:rPr>
          <w:lang w:val="fr-FR"/>
        </w:rPr>
        <w:t>: La totalité des heures qui, normalement, auraient été ouvrées en cinq jours est répartie sur quatre jours. Cette nouvelle répartition permet aux fonctionnaires de prendre chaque semaine une demi-journée de congé. Compte tenu de l</w:t>
      </w:r>
      <w:r w:rsidR="004933C3">
        <w:rPr>
          <w:lang w:val="fr-FR"/>
        </w:rPr>
        <w:t>’</w:t>
      </w:r>
      <w:r w:rsidR="00C9387D" w:rsidRPr="00C9387D">
        <w:rPr>
          <w:lang w:val="fr-FR"/>
        </w:rPr>
        <w:t>obligation de faire face comme il se doit aux nécessités du service, le fonctionnaire et son supérieur hiérarchique conviennent de la demi-journée de la période de cinq jours qui pourra être prise en congé. Cette demi-journée de congé est prise pendant ladite période et ne peut être accumulée.</w:t>
      </w:r>
    </w:p>
    <w:p w14:paraId="163B55DF" w14:textId="7D59FA04" w:rsidR="000A40A4" w:rsidRPr="000A40A4" w:rsidRDefault="000A40A4" w:rsidP="000A40A4">
      <w:pPr>
        <w:pStyle w:val="SingleTxt"/>
        <w:spacing w:after="0" w:line="120" w:lineRule="exact"/>
        <w:rPr>
          <w:sz w:val="10"/>
          <w:lang w:val="fr-FR"/>
        </w:rPr>
      </w:pPr>
    </w:p>
    <w:p w14:paraId="01C464D1" w14:textId="1D250E93"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Interruption programmée en vue de poursuivre des études</w:t>
      </w:r>
    </w:p>
    <w:p w14:paraId="31ACEDA7" w14:textId="5225E7C0" w:rsidR="000A40A4" w:rsidRPr="000A40A4" w:rsidRDefault="000A40A4" w:rsidP="000A40A4">
      <w:pPr>
        <w:pStyle w:val="SingleTxt"/>
        <w:spacing w:after="0" w:line="120" w:lineRule="exact"/>
        <w:rPr>
          <w:sz w:val="10"/>
          <w:lang w:val="fr-FR"/>
        </w:rPr>
      </w:pPr>
    </w:p>
    <w:p w14:paraId="665C5FB2" w14:textId="40DC8B60" w:rsidR="00C9387D" w:rsidRDefault="000A40A4" w:rsidP="004933C3">
      <w:pPr>
        <w:pStyle w:val="SingleTxt"/>
        <w:rPr>
          <w:lang w:val="fr-FR"/>
        </w:rPr>
      </w:pPr>
      <w:r>
        <w:rPr>
          <w:lang w:val="fr-FR"/>
        </w:rPr>
        <w:t>3.4</w:t>
      </w:r>
      <w:r>
        <w:rPr>
          <w:lang w:val="fr-FR"/>
        </w:rPr>
        <w:tab/>
      </w:r>
      <w:r w:rsidR="00C9387D" w:rsidRPr="00C9387D">
        <w:rPr>
          <w:lang w:val="fr-FR"/>
        </w:rPr>
        <w:t>Les fonctionnaires qui souhaitent suivre des cours à l</w:t>
      </w:r>
      <w:r w:rsidR="004933C3">
        <w:rPr>
          <w:lang w:val="fr-FR"/>
        </w:rPr>
        <w:t>’</w:t>
      </w:r>
      <w:r w:rsidR="00C9387D" w:rsidRPr="00C9387D">
        <w:rPr>
          <w:lang w:val="fr-FR"/>
        </w:rPr>
        <w:t>université ou dans d</w:t>
      </w:r>
      <w:r w:rsidR="004933C3">
        <w:rPr>
          <w:lang w:val="fr-FR"/>
        </w:rPr>
        <w:t>’</w:t>
      </w:r>
      <w:r w:rsidR="00C9387D" w:rsidRPr="00C9387D">
        <w:rPr>
          <w:lang w:val="fr-FR"/>
        </w:rPr>
        <w:t>autres établissements d</w:t>
      </w:r>
      <w:r w:rsidR="004933C3">
        <w:rPr>
          <w:lang w:val="fr-FR"/>
        </w:rPr>
        <w:t>’</w:t>
      </w:r>
      <w:r w:rsidR="00C9387D" w:rsidRPr="00C9387D">
        <w:rPr>
          <w:lang w:val="fr-FR"/>
        </w:rPr>
        <w:t>enseignement pour se perfectionner sur le plan professionnel peuvent demander l</w:t>
      </w:r>
      <w:r w:rsidR="004933C3">
        <w:rPr>
          <w:lang w:val="fr-FR"/>
        </w:rPr>
        <w:t>’</w:t>
      </w:r>
      <w:r w:rsidR="00C9387D" w:rsidRPr="00C9387D">
        <w:rPr>
          <w:lang w:val="fr-FR"/>
        </w:rPr>
        <w:t>autorisation de s</w:t>
      </w:r>
      <w:r w:rsidR="004933C3">
        <w:rPr>
          <w:lang w:val="fr-FR"/>
        </w:rPr>
        <w:t>’</w:t>
      </w:r>
      <w:r w:rsidR="00C9387D" w:rsidRPr="00C9387D">
        <w:rPr>
          <w:lang w:val="fr-FR"/>
        </w:rPr>
        <w:t>absenter six heures par semaine au maximum. Le temps passé à l</w:t>
      </w:r>
      <w:r w:rsidR="004933C3">
        <w:rPr>
          <w:lang w:val="fr-FR"/>
        </w:rPr>
        <w:t>’</w:t>
      </w:r>
      <w:r w:rsidR="00C9387D" w:rsidRPr="00C9387D">
        <w:rPr>
          <w:lang w:val="fr-FR"/>
        </w:rPr>
        <w:t>extérieur de l</w:t>
      </w:r>
      <w:r w:rsidR="004933C3">
        <w:rPr>
          <w:lang w:val="fr-FR"/>
        </w:rPr>
        <w:t>’</w:t>
      </w:r>
      <w:r w:rsidR="00C9387D" w:rsidRPr="00C9387D">
        <w:rPr>
          <w:lang w:val="fr-FR"/>
        </w:rPr>
        <w:t>Organisation pendant une semaine donnée doit être compensé au cours de la même semaine.</w:t>
      </w:r>
    </w:p>
    <w:p w14:paraId="67DBBC3D" w14:textId="73D14C3F" w:rsidR="000A40A4" w:rsidRPr="000A40A4" w:rsidRDefault="000A40A4" w:rsidP="000A40A4">
      <w:pPr>
        <w:pStyle w:val="SingleTxt"/>
        <w:spacing w:after="0" w:line="120" w:lineRule="exact"/>
        <w:rPr>
          <w:sz w:val="10"/>
          <w:lang w:val="fr-FR"/>
        </w:rPr>
      </w:pPr>
    </w:p>
    <w:p w14:paraId="00D00B3C" w14:textId="69D0F5EA"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Télétravail</w:t>
      </w:r>
    </w:p>
    <w:p w14:paraId="10770E04" w14:textId="42617A88" w:rsidR="000A40A4" w:rsidRPr="000A40A4" w:rsidRDefault="000A40A4" w:rsidP="000A40A4">
      <w:pPr>
        <w:pStyle w:val="SingleTxt"/>
        <w:spacing w:after="0" w:line="120" w:lineRule="exact"/>
        <w:rPr>
          <w:sz w:val="10"/>
          <w:lang w:val="fr-FR"/>
        </w:rPr>
      </w:pPr>
    </w:p>
    <w:p w14:paraId="484B9F90" w14:textId="17C3B269" w:rsidR="00C9387D" w:rsidRPr="00C9387D" w:rsidRDefault="000A40A4" w:rsidP="004933C3">
      <w:pPr>
        <w:pStyle w:val="SingleTxt"/>
        <w:rPr>
          <w:lang w:val="fr-FR"/>
        </w:rPr>
      </w:pPr>
      <w:r>
        <w:rPr>
          <w:lang w:val="fr-FR"/>
        </w:rPr>
        <w:t>3.5</w:t>
      </w:r>
      <w:r>
        <w:rPr>
          <w:lang w:val="fr-FR"/>
        </w:rPr>
        <w:tab/>
      </w:r>
      <w:r w:rsidR="00C9387D" w:rsidRPr="00C9387D">
        <w:rPr>
          <w:lang w:val="fr-FR"/>
        </w:rPr>
        <w:t>Si la nature du travail le permet, les fonctionnaires peuvent être autorisés, sur demande écrite, à travailler ailleurs qu</w:t>
      </w:r>
      <w:r w:rsidR="004933C3">
        <w:rPr>
          <w:lang w:val="fr-FR"/>
        </w:rPr>
        <w:t>’</w:t>
      </w:r>
      <w:r w:rsidR="00C9387D" w:rsidRPr="00C9387D">
        <w:rPr>
          <w:lang w:val="fr-FR"/>
        </w:rPr>
        <w:t>à leur bureau dans leur lieu d</w:t>
      </w:r>
      <w:r w:rsidR="004933C3">
        <w:rPr>
          <w:lang w:val="fr-FR"/>
        </w:rPr>
        <w:t>’</w:t>
      </w:r>
      <w:r w:rsidR="00C9387D" w:rsidRPr="00C9387D">
        <w:rPr>
          <w:lang w:val="fr-FR"/>
        </w:rPr>
        <w:t>affectation officiel. Il convient de veiller à ce que le télétravail n</w:t>
      </w:r>
      <w:r w:rsidR="004933C3">
        <w:rPr>
          <w:lang w:val="fr-FR"/>
        </w:rPr>
        <w:t>’</w:t>
      </w:r>
      <w:r w:rsidR="00C9387D" w:rsidRPr="00C9387D">
        <w:rPr>
          <w:lang w:val="fr-FR"/>
        </w:rPr>
        <w:t>entraîne pas un surcroît de travail pour les autres membres de l</w:t>
      </w:r>
      <w:r w:rsidR="004933C3">
        <w:rPr>
          <w:lang w:val="fr-FR"/>
        </w:rPr>
        <w:t>’</w:t>
      </w:r>
      <w:r w:rsidR="00C9387D" w:rsidRPr="00C9387D">
        <w:rPr>
          <w:lang w:val="fr-FR"/>
        </w:rPr>
        <w:t>équipe.</w:t>
      </w:r>
    </w:p>
    <w:p w14:paraId="18353BF2" w14:textId="77591B77" w:rsidR="00C9387D" w:rsidRPr="00C9387D" w:rsidRDefault="000A40A4" w:rsidP="004933C3">
      <w:pPr>
        <w:pStyle w:val="SingleTxt"/>
        <w:rPr>
          <w:lang w:val="fr-FR"/>
        </w:rPr>
      </w:pPr>
      <w:r>
        <w:rPr>
          <w:lang w:val="fr-FR"/>
        </w:rPr>
        <w:t>3.6</w:t>
      </w:r>
      <w:r>
        <w:rPr>
          <w:lang w:val="fr-FR"/>
        </w:rPr>
        <w:tab/>
      </w:r>
      <w:r w:rsidR="00C9387D" w:rsidRPr="00C9387D">
        <w:rPr>
          <w:lang w:val="fr-FR"/>
        </w:rPr>
        <w:t>Les fonctionnaires peuvent être autorisés à travailler ailleurs qu</w:t>
      </w:r>
      <w:r w:rsidR="004933C3">
        <w:rPr>
          <w:lang w:val="fr-FR"/>
        </w:rPr>
        <w:t>’</w:t>
      </w:r>
      <w:r w:rsidR="00C9387D" w:rsidRPr="00C9387D">
        <w:rPr>
          <w:lang w:val="fr-FR"/>
        </w:rPr>
        <w:t>à leur bureau dans leur lieu d</w:t>
      </w:r>
      <w:r w:rsidR="004933C3">
        <w:rPr>
          <w:lang w:val="fr-FR"/>
        </w:rPr>
        <w:t>’</w:t>
      </w:r>
      <w:r w:rsidR="00C9387D" w:rsidRPr="00C9387D">
        <w:rPr>
          <w:lang w:val="fr-FR"/>
        </w:rPr>
        <w:t>affectation officiel à condition d</w:t>
      </w:r>
      <w:r w:rsidR="004933C3">
        <w:rPr>
          <w:lang w:val="fr-FR"/>
        </w:rPr>
        <w:t>’</w:t>
      </w:r>
      <w:r w:rsidR="00C9387D" w:rsidRPr="00C9387D">
        <w:rPr>
          <w:lang w:val="fr-FR"/>
        </w:rPr>
        <w:t>être joignables par téléphone ou par courrier électronique pendant la plage horaire fixe fixée pour leur lieu d</w:t>
      </w:r>
      <w:r w:rsidR="004933C3">
        <w:rPr>
          <w:lang w:val="fr-FR"/>
        </w:rPr>
        <w:t>’</w:t>
      </w:r>
      <w:r w:rsidR="00C9387D" w:rsidRPr="00C9387D">
        <w:rPr>
          <w:lang w:val="fr-FR"/>
        </w:rPr>
        <w:t>affectation et de disposer du matériel de bureau nécessaire à l</w:t>
      </w:r>
      <w:r w:rsidR="004933C3">
        <w:rPr>
          <w:lang w:val="fr-FR"/>
        </w:rPr>
        <w:t>’</w:t>
      </w:r>
      <w:r w:rsidR="00C9387D" w:rsidRPr="00C9387D">
        <w:rPr>
          <w:lang w:val="fr-FR"/>
        </w:rPr>
        <w:t>exercice de leurs fonctions officielles ou de se le procurer à leurs frais. Ce matériel se compose normalement d</w:t>
      </w:r>
      <w:r w:rsidR="004933C3">
        <w:rPr>
          <w:lang w:val="fr-FR"/>
        </w:rPr>
        <w:t>’</w:t>
      </w:r>
      <w:r w:rsidR="00C9387D" w:rsidRPr="00C9387D">
        <w:rPr>
          <w:lang w:val="fr-FR"/>
        </w:rPr>
        <w:t>un ordinateur, d</w:t>
      </w:r>
      <w:r w:rsidR="004933C3">
        <w:rPr>
          <w:lang w:val="fr-FR"/>
        </w:rPr>
        <w:t>’</w:t>
      </w:r>
      <w:r w:rsidR="00C9387D" w:rsidRPr="00C9387D">
        <w:rPr>
          <w:lang w:val="fr-FR"/>
        </w:rPr>
        <w:t>un accès à Internet et d</w:t>
      </w:r>
      <w:r w:rsidR="004933C3">
        <w:rPr>
          <w:lang w:val="fr-FR"/>
        </w:rPr>
        <w:t>’</w:t>
      </w:r>
      <w:r w:rsidR="00C9387D" w:rsidRPr="00C9387D">
        <w:rPr>
          <w:lang w:val="fr-FR"/>
        </w:rPr>
        <w:t>un téléphone.</w:t>
      </w:r>
    </w:p>
    <w:p w14:paraId="4D496FAE" w14:textId="10DDEE16" w:rsidR="00C9387D" w:rsidRPr="00C9387D" w:rsidRDefault="000A40A4" w:rsidP="004933C3">
      <w:pPr>
        <w:pStyle w:val="SingleTxt"/>
        <w:rPr>
          <w:lang w:val="fr-FR"/>
        </w:rPr>
      </w:pPr>
      <w:r>
        <w:rPr>
          <w:lang w:val="fr-FR"/>
        </w:rPr>
        <w:t>3.7</w:t>
      </w:r>
      <w:r>
        <w:rPr>
          <w:lang w:val="fr-FR"/>
        </w:rPr>
        <w:tab/>
      </w:r>
      <w:r w:rsidR="00C9387D" w:rsidRPr="00C9387D">
        <w:rPr>
          <w:lang w:val="fr-FR"/>
        </w:rPr>
        <w:t>Un supérieur hiérarchique peut autoriser un fonctionnaire à télétravailler, dans le lieu d</w:t>
      </w:r>
      <w:r w:rsidR="004933C3">
        <w:rPr>
          <w:lang w:val="fr-FR"/>
        </w:rPr>
        <w:t>’</w:t>
      </w:r>
      <w:r w:rsidR="00C9387D" w:rsidRPr="00C9387D">
        <w:rPr>
          <w:lang w:val="fr-FR"/>
        </w:rPr>
        <w:t>affectation, jusqu</w:t>
      </w:r>
      <w:r w:rsidR="004933C3">
        <w:rPr>
          <w:lang w:val="fr-FR"/>
        </w:rPr>
        <w:t>’</w:t>
      </w:r>
      <w:r w:rsidR="00C9387D" w:rsidRPr="00C9387D">
        <w:rPr>
          <w:lang w:val="fr-FR"/>
        </w:rPr>
        <w:t>à un maximum de trois jours par semaine de travail et à raison de demi-journées ou de journées complètes, de manière régulière ou ponctuelle, suivant l</w:t>
      </w:r>
      <w:r w:rsidR="004933C3">
        <w:rPr>
          <w:lang w:val="fr-FR"/>
        </w:rPr>
        <w:t>’</w:t>
      </w:r>
      <w:r w:rsidR="00C9387D" w:rsidRPr="00C9387D">
        <w:rPr>
          <w:lang w:val="fr-FR"/>
        </w:rPr>
        <w:t>accord qui aura été conclu.</w:t>
      </w:r>
    </w:p>
    <w:p w14:paraId="154E4BF7" w14:textId="66A5FF09" w:rsidR="00C9387D" w:rsidRPr="00C9387D" w:rsidRDefault="000A40A4" w:rsidP="004933C3">
      <w:pPr>
        <w:pStyle w:val="SingleTxt"/>
        <w:rPr>
          <w:lang w:val="fr-FR"/>
        </w:rPr>
      </w:pPr>
      <w:r>
        <w:rPr>
          <w:lang w:val="fr-FR"/>
        </w:rPr>
        <w:lastRenderedPageBreak/>
        <w:t>3.8</w:t>
      </w:r>
      <w:r>
        <w:rPr>
          <w:lang w:val="fr-FR"/>
        </w:rPr>
        <w:tab/>
      </w:r>
      <w:r w:rsidR="00C9387D" w:rsidRPr="00C9387D">
        <w:rPr>
          <w:lang w:val="fr-FR"/>
        </w:rPr>
        <w:t>Si leur situation personnelle l</w:t>
      </w:r>
      <w:r w:rsidR="004933C3">
        <w:rPr>
          <w:lang w:val="fr-FR"/>
        </w:rPr>
        <w:t>’</w:t>
      </w:r>
      <w:r w:rsidR="00C9387D" w:rsidRPr="00C9387D">
        <w:rPr>
          <w:lang w:val="fr-FR"/>
        </w:rPr>
        <w:t>exige, il peut être envisagé d</w:t>
      </w:r>
      <w:r w:rsidR="004933C3">
        <w:rPr>
          <w:lang w:val="fr-FR"/>
        </w:rPr>
        <w:t>’</w:t>
      </w:r>
      <w:r w:rsidR="00C9387D" w:rsidRPr="00C9387D">
        <w:rPr>
          <w:lang w:val="fr-FR"/>
        </w:rPr>
        <w:t>autoriser des fonctionnaires à télétravailler dans leur lieu d</w:t>
      </w:r>
      <w:r w:rsidR="004933C3">
        <w:rPr>
          <w:lang w:val="fr-FR"/>
        </w:rPr>
        <w:t>’</w:t>
      </w:r>
      <w:r w:rsidR="00C9387D" w:rsidRPr="00C9387D">
        <w:rPr>
          <w:lang w:val="fr-FR"/>
        </w:rPr>
        <w:t>affectation pendant un nombre de jours supérieur au nombre maximal de jours fixé à la section 3.7 ci-dessus.</w:t>
      </w:r>
    </w:p>
    <w:p w14:paraId="77C50FD4" w14:textId="60CA98D6" w:rsidR="00C9387D" w:rsidRPr="00C9387D" w:rsidRDefault="000A40A4" w:rsidP="004933C3">
      <w:pPr>
        <w:pStyle w:val="SingleTxt"/>
        <w:rPr>
          <w:lang w:val="fr-FR"/>
        </w:rPr>
      </w:pPr>
      <w:r>
        <w:rPr>
          <w:lang w:val="fr-FR"/>
        </w:rPr>
        <w:t>3.9</w:t>
      </w:r>
      <w:r>
        <w:rPr>
          <w:lang w:val="fr-FR"/>
        </w:rPr>
        <w:tab/>
      </w:r>
      <w:r w:rsidR="00C9387D" w:rsidRPr="00C9387D">
        <w:rPr>
          <w:lang w:val="fr-FR"/>
        </w:rPr>
        <w:t>Pendant la période de télétravail, les supérieurs hiérarchiques peuvent demander aux fonctionnaires de venir au bureau pour assister à des réunions de service ou pour d</w:t>
      </w:r>
      <w:r w:rsidR="004933C3">
        <w:rPr>
          <w:lang w:val="fr-FR"/>
        </w:rPr>
        <w:t>’</w:t>
      </w:r>
      <w:r w:rsidR="00C9387D" w:rsidRPr="00C9387D">
        <w:rPr>
          <w:lang w:val="fr-FR"/>
        </w:rPr>
        <w:t>autres raisons si les moyens de communication et de représentation dont ceux-ci disposent ne sont pas adaptés et si la rencontre en personne est nécessaire à la bonne exécution d</w:t>
      </w:r>
      <w:r w:rsidR="004933C3">
        <w:rPr>
          <w:lang w:val="fr-FR"/>
        </w:rPr>
        <w:t>’</w:t>
      </w:r>
      <w:r w:rsidR="00C9387D" w:rsidRPr="00C9387D">
        <w:rPr>
          <w:lang w:val="fr-FR"/>
        </w:rPr>
        <w:t>un mandat.</w:t>
      </w:r>
    </w:p>
    <w:p w14:paraId="5DFD34B2" w14:textId="65400E30" w:rsidR="00C9387D" w:rsidRPr="00C9387D" w:rsidRDefault="000A40A4" w:rsidP="004933C3">
      <w:pPr>
        <w:pStyle w:val="SingleTxt"/>
        <w:rPr>
          <w:lang w:val="fr-FR"/>
        </w:rPr>
      </w:pPr>
      <w:r>
        <w:rPr>
          <w:lang w:val="fr-FR"/>
        </w:rPr>
        <w:t>3.10</w:t>
      </w:r>
      <w:r>
        <w:rPr>
          <w:lang w:val="fr-FR"/>
        </w:rPr>
        <w:tab/>
      </w:r>
      <w:r w:rsidR="00C9387D" w:rsidRPr="00C9387D">
        <w:rPr>
          <w:lang w:val="fr-FR"/>
        </w:rPr>
        <w:t>Si leur situation personnelle l</w:t>
      </w:r>
      <w:r w:rsidR="004933C3">
        <w:rPr>
          <w:lang w:val="fr-FR"/>
        </w:rPr>
        <w:t>’</w:t>
      </w:r>
      <w:r w:rsidR="00C9387D" w:rsidRPr="00C9387D">
        <w:rPr>
          <w:lang w:val="fr-FR"/>
        </w:rPr>
        <w:t>exige, il peut être envisagé d</w:t>
      </w:r>
      <w:r w:rsidR="004933C3">
        <w:rPr>
          <w:lang w:val="fr-FR"/>
        </w:rPr>
        <w:t>’</w:t>
      </w:r>
      <w:r w:rsidR="00C9387D" w:rsidRPr="00C9387D">
        <w:rPr>
          <w:lang w:val="fr-FR"/>
        </w:rPr>
        <w:t>autoriser des fonctionnaires à télétravailler en dehors de leur lieu d</w:t>
      </w:r>
      <w:r w:rsidR="004933C3">
        <w:rPr>
          <w:lang w:val="fr-FR"/>
        </w:rPr>
        <w:t>’</w:t>
      </w:r>
      <w:r w:rsidR="00C9387D" w:rsidRPr="00C9387D">
        <w:rPr>
          <w:lang w:val="fr-FR"/>
        </w:rPr>
        <w:t>affectation officiel pendant une période appropriée n</w:t>
      </w:r>
      <w:r w:rsidR="004933C3">
        <w:rPr>
          <w:lang w:val="fr-FR"/>
        </w:rPr>
        <w:t>’</w:t>
      </w:r>
      <w:r w:rsidR="00C9387D" w:rsidRPr="00C9387D">
        <w:rPr>
          <w:lang w:val="fr-FR"/>
        </w:rPr>
        <w:t>excédant pas six mois. À titre exceptionnel, les supérieurs hiérarchiques peuvent envisager de prolonger de trois mois au maximum l</w:t>
      </w:r>
      <w:r w:rsidR="004933C3">
        <w:rPr>
          <w:lang w:val="fr-FR"/>
        </w:rPr>
        <w:t>’</w:t>
      </w:r>
      <w:r w:rsidR="00C9387D" w:rsidRPr="00C9387D">
        <w:rPr>
          <w:lang w:val="fr-FR"/>
        </w:rPr>
        <w:t>autorisation de travailler à distance. Le travail à distance ne constitue pas un changement de lieu d</w:t>
      </w:r>
      <w:r w:rsidR="004933C3">
        <w:rPr>
          <w:lang w:val="fr-FR"/>
        </w:rPr>
        <w:t>’</w:t>
      </w:r>
      <w:r w:rsidR="00C9387D" w:rsidRPr="00C9387D">
        <w:rPr>
          <w:lang w:val="fr-FR"/>
        </w:rPr>
        <w:t>affectation officiel au sens de l</w:t>
      </w:r>
      <w:r w:rsidR="004933C3">
        <w:rPr>
          <w:lang w:val="fr-FR"/>
        </w:rPr>
        <w:t>’</w:t>
      </w:r>
      <w:r w:rsidR="00C9387D" w:rsidRPr="00C9387D">
        <w:rPr>
          <w:lang w:val="fr-FR"/>
        </w:rPr>
        <w:t>alinéa a) de la disposition 4.8 du Règlement du personnel.</w:t>
      </w:r>
    </w:p>
    <w:p w14:paraId="55DB7418" w14:textId="135BA9F1" w:rsidR="00C9387D" w:rsidRPr="00C9387D" w:rsidRDefault="000A40A4" w:rsidP="004933C3">
      <w:pPr>
        <w:pStyle w:val="SingleTxt"/>
        <w:rPr>
          <w:lang w:val="fr-FR"/>
        </w:rPr>
      </w:pPr>
      <w:r>
        <w:rPr>
          <w:lang w:val="fr-FR"/>
        </w:rPr>
        <w:t>3.11</w:t>
      </w:r>
      <w:r>
        <w:rPr>
          <w:lang w:val="fr-FR"/>
        </w:rPr>
        <w:tab/>
      </w:r>
      <w:r w:rsidR="00C9387D" w:rsidRPr="00C9387D">
        <w:rPr>
          <w:lang w:val="fr-FR"/>
        </w:rPr>
        <w:t>Dans de telles situations, les fonctionnaires qui télétravaillent en dehors de leur lieu d</w:t>
      </w:r>
      <w:r w:rsidR="004933C3">
        <w:rPr>
          <w:lang w:val="fr-FR"/>
        </w:rPr>
        <w:t>’</w:t>
      </w:r>
      <w:r w:rsidR="00C9387D" w:rsidRPr="00C9387D">
        <w:rPr>
          <w:lang w:val="fr-FR"/>
        </w:rPr>
        <w:t>affectation officiel doivent s</w:t>
      </w:r>
      <w:r w:rsidR="004933C3">
        <w:rPr>
          <w:lang w:val="fr-FR"/>
        </w:rPr>
        <w:t>’</w:t>
      </w:r>
      <w:r w:rsidR="00C9387D" w:rsidRPr="00C9387D">
        <w:rPr>
          <w:lang w:val="fr-FR"/>
        </w:rPr>
        <w:t>être procuré, à leur frais, le matériel de bureau nécessaire à l</w:t>
      </w:r>
      <w:r w:rsidR="004933C3">
        <w:rPr>
          <w:lang w:val="fr-FR"/>
        </w:rPr>
        <w:t>’</w:t>
      </w:r>
      <w:r w:rsidR="00C9387D" w:rsidRPr="00C9387D">
        <w:rPr>
          <w:lang w:val="fr-FR"/>
        </w:rPr>
        <w:t>exercice de leurs fonctions officielles. En outre, le nombre total d</w:t>
      </w:r>
      <w:r w:rsidR="004933C3">
        <w:rPr>
          <w:lang w:val="fr-FR"/>
        </w:rPr>
        <w:t>’</w:t>
      </w:r>
      <w:r w:rsidR="00C9387D" w:rsidRPr="00C9387D">
        <w:rPr>
          <w:lang w:val="fr-FR"/>
        </w:rPr>
        <w:t>heures de travail attendu ne change pas, quel que soit le lieu de travail. Pendant la période de télétravail, les supérieurs hiérarchiques peuvent également demander aux fonctionnaires de venir à leurs frais au bureau pour assister à des réunions de service ou pour d</w:t>
      </w:r>
      <w:r w:rsidR="004933C3">
        <w:rPr>
          <w:lang w:val="fr-FR"/>
        </w:rPr>
        <w:t>’</w:t>
      </w:r>
      <w:r w:rsidR="00C9387D" w:rsidRPr="00C9387D">
        <w:rPr>
          <w:lang w:val="fr-FR"/>
        </w:rPr>
        <w:t>autres raisons, selon la nature des tâches effectuées, si les moyens de communication et de représentation dont ceux-ci disposent ne sont pas adaptés et si la rencontre en personne est nécessaire à la bonne exécution d</w:t>
      </w:r>
      <w:r w:rsidR="004933C3">
        <w:rPr>
          <w:lang w:val="fr-FR"/>
        </w:rPr>
        <w:t>’</w:t>
      </w:r>
      <w:r w:rsidR="00C9387D" w:rsidRPr="00C9387D">
        <w:rPr>
          <w:lang w:val="fr-FR"/>
        </w:rPr>
        <w:t>un mandat. Une telle condition doit avoir été acceptée avant que l</w:t>
      </w:r>
      <w:r w:rsidR="004933C3">
        <w:rPr>
          <w:lang w:val="fr-FR"/>
        </w:rPr>
        <w:t>’</w:t>
      </w:r>
      <w:r w:rsidR="00C9387D" w:rsidRPr="00C9387D">
        <w:rPr>
          <w:lang w:val="fr-FR"/>
        </w:rPr>
        <w:t>accord de télétravail ne prenne effet ou soit prorogé.</w:t>
      </w:r>
    </w:p>
    <w:p w14:paraId="5F0197FB" w14:textId="4C3E84B2" w:rsidR="00C9387D" w:rsidRPr="00C9387D" w:rsidRDefault="000A40A4" w:rsidP="004933C3">
      <w:pPr>
        <w:pStyle w:val="SingleTxt"/>
        <w:rPr>
          <w:lang w:val="fr-FR"/>
        </w:rPr>
      </w:pPr>
      <w:r>
        <w:rPr>
          <w:lang w:val="fr-FR"/>
        </w:rPr>
        <w:t>3.12</w:t>
      </w:r>
      <w:r>
        <w:rPr>
          <w:lang w:val="fr-FR"/>
        </w:rPr>
        <w:tab/>
      </w:r>
      <w:r w:rsidR="00C9387D" w:rsidRPr="00C9387D">
        <w:rPr>
          <w:lang w:val="fr-FR"/>
        </w:rPr>
        <w:t>Le télétravail en dehors du lieu d</w:t>
      </w:r>
      <w:r w:rsidR="004933C3">
        <w:rPr>
          <w:lang w:val="fr-FR"/>
        </w:rPr>
        <w:t>’</w:t>
      </w:r>
      <w:r w:rsidR="00C9387D" w:rsidRPr="00C9387D">
        <w:rPr>
          <w:lang w:val="fr-FR"/>
        </w:rPr>
        <w:t>affectation officiel du fonctionnaire n</w:t>
      </w:r>
      <w:r w:rsidR="004933C3">
        <w:rPr>
          <w:lang w:val="fr-FR"/>
        </w:rPr>
        <w:t>’</w:t>
      </w:r>
      <w:r w:rsidR="00C9387D" w:rsidRPr="00C9387D">
        <w:rPr>
          <w:lang w:val="fr-FR"/>
        </w:rPr>
        <w:t>ouvre droit à aucune prestation ou indemnité supplémentaire. Le versement des prestations et indemnités qui supposent la présence physique des fonctionnaires à leur lieu d</w:t>
      </w:r>
      <w:r w:rsidR="004933C3">
        <w:rPr>
          <w:lang w:val="fr-FR"/>
        </w:rPr>
        <w:t>’</w:t>
      </w:r>
      <w:r w:rsidR="00C9387D" w:rsidRPr="00C9387D">
        <w:rPr>
          <w:lang w:val="fr-FR"/>
        </w:rPr>
        <w:t>affectation officiel (par exemple, la prime de danger) est suspendu pendant la durée du télétravail en dehors dudit lieu d</w:t>
      </w:r>
      <w:r w:rsidR="004933C3">
        <w:rPr>
          <w:lang w:val="fr-FR"/>
        </w:rPr>
        <w:t>’</w:t>
      </w:r>
      <w:r w:rsidR="00C9387D" w:rsidRPr="00C9387D">
        <w:rPr>
          <w:lang w:val="fr-FR"/>
        </w:rPr>
        <w:t>affectation.</w:t>
      </w:r>
    </w:p>
    <w:p w14:paraId="5B305B2A" w14:textId="4A808120" w:rsidR="00C9387D" w:rsidRPr="00C9387D" w:rsidRDefault="00C9387D" w:rsidP="004933C3">
      <w:pPr>
        <w:pStyle w:val="SingleTxt"/>
        <w:rPr>
          <w:lang w:val="fr-FR"/>
        </w:rPr>
      </w:pPr>
      <w:r w:rsidRPr="00C9387D">
        <w:rPr>
          <w:lang w:val="fr-FR"/>
        </w:rPr>
        <w:t>3.13</w:t>
      </w:r>
      <w:r w:rsidRPr="00C9387D">
        <w:rPr>
          <w:lang w:val="fr-FR"/>
        </w:rPr>
        <w:tab/>
        <w:t>Le fait qu</w:t>
      </w:r>
      <w:r w:rsidR="004933C3">
        <w:rPr>
          <w:lang w:val="fr-FR"/>
        </w:rPr>
        <w:t>’</w:t>
      </w:r>
      <w:r w:rsidRPr="00C9387D">
        <w:rPr>
          <w:lang w:val="fr-FR"/>
        </w:rPr>
        <w:t>un fonctionnaire soit autorisé à télétravailler ne change</w:t>
      </w:r>
      <w:r w:rsidR="00674F1D">
        <w:rPr>
          <w:lang w:val="fr-FR"/>
        </w:rPr>
        <w:t xml:space="preserve"> en</w:t>
      </w:r>
      <w:r w:rsidRPr="00C9387D">
        <w:rPr>
          <w:lang w:val="fr-FR"/>
        </w:rPr>
        <w:t xml:space="preserve"> rien à la manière dont celui-ci est administré et évalué.</w:t>
      </w:r>
    </w:p>
    <w:p w14:paraId="69263212" w14:textId="1575861F" w:rsidR="00C9387D" w:rsidRDefault="00C9387D" w:rsidP="004933C3">
      <w:pPr>
        <w:pStyle w:val="SingleTxt"/>
        <w:rPr>
          <w:lang w:val="fr-FR"/>
        </w:rPr>
      </w:pPr>
      <w:r w:rsidRPr="00C9387D">
        <w:rPr>
          <w:lang w:val="fr-FR"/>
        </w:rPr>
        <w:t>3.14</w:t>
      </w:r>
      <w:r w:rsidRPr="00C9387D">
        <w:rPr>
          <w:lang w:val="fr-FR"/>
        </w:rPr>
        <w:tab/>
        <w:t>L</w:t>
      </w:r>
      <w:r w:rsidR="004933C3">
        <w:rPr>
          <w:lang w:val="fr-FR"/>
        </w:rPr>
        <w:t>’</w:t>
      </w:r>
      <w:r w:rsidRPr="00C9387D">
        <w:rPr>
          <w:lang w:val="fr-FR"/>
        </w:rPr>
        <w:t>indemnisation en cas de maladie, de blessure ou de décès du fonctionnaire survenu alors que celui-ci télétravaillait est régie par l</w:t>
      </w:r>
      <w:r w:rsidR="004933C3">
        <w:rPr>
          <w:lang w:val="fr-FR"/>
        </w:rPr>
        <w:t>’</w:t>
      </w:r>
      <w:r w:rsidRPr="00C9387D">
        <w:rPr>
          <w:lang w:val="fr-FR"/>
        </w:rPr>
        <w:t>appendice D du Statut et du Règlement du personnel.</w:t>
      </w:r>
    </w:p>
    <w:p w14:paraId="58A7047D" w14:textId="1A641637" w:rsidR="000A40A4" w:rsidRPr="000A40A4" w:rsidRDefault="000A40A4" w:rsidP="000A40A4">
      <w:pPr>
        <w:pStyle w:val="SingleTxt"/>
        <w:spacing w:after="0" w:line="120" w:lineRule="exact"/>
        <w:rPr>
          <w:sz w:val="10"/>
          <w:lang w:val="fr-FR"/>
        </w:rPr>
      </w:pPr>
    </w:p>
    <w:p w14:paraId="795BD83E" w14:textId="5BAD9CED" w:rsidR="00C9387D" w:rsidRP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Section 4.</w:t>
      </w:r>
      <w:r w:rsidR="00C9387D" w:rsidRPr="00C9387D">
        <w:rPr>
          <w:lang w:val="fr-FR"/>
        </w:rPr>
        <w:tab/>
      </w:r>
    </w:p>
    <w:p w14:paraId="5383BE74" w14:textId="0261CA39" w:rsidR="00C9387D" w:rsidRDefault="000A40A4" w:rsidP="000A40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9387D" w:rsidRPr="00C9387D">
        <w:rPr>
          <w:lang w:val="fr-FR"/>
        </w:rPr>
        <w:t>Dispositions finales</w:t>
      </w:r>
    </w:p>
    <w:p w14:paraId="7C978B59" w14:textId="5CC9E0B3" w:rsidR="000A40A4" w:rsidRPr="000A40A4" w:rsidRDefault="000A40A4" w:rsidP="000A40A4">
      <w:pPr>
        <w:pStyle w:val="SingleTxt"/>
        <w:spacing w:after="0" w:line="120" w:lineRule="exact"/>
        <w:rPr>
          <w:sz w:val="10"/>
          <w:lang w:val="fr-FR"/>
        </w:rPr>
      </w:pPr>
    </w:p>
    <w:p w14:paraId="002E52C5" w14:textId="77777777" w:rsidR="00C9387D" w:rsidRPr="00C9387D" w:rsidRDefault="00C9387D" w:rsidP="004933C3">
      <w:pPr>
        <w:pStyle w:val="SingleTxt"/>
        <w:rPr>
          <w:lang w:val="fr-FR"/>
        </w:rPr>
      </w:pPr>
      <w:r w:rsidRPr="00C9387D">
        <w:rPr>
          <w:lang w:val="fr-FR"/>
        </w:rPr>
        <w:t>4.1 La présente circulaire entre en vigueur à sa date de publication.</w:t>
      </w:r>
    </w:p>
    <w:p w14:paraId="0C29EEE4" w14:textId="4763B564" w:rsidR="00C9387D" w:rsidRPr="00C9387D" w:rsidRDefault="00C9387D" w:rsidP="004933C3">
      <w:pPr>
        <w:pStyle w:val="SingleTxt"/>
        <w:rPr>
          <w:lang w:val="fr-FR"/>
        </w:rPr>
      </w:pPr>
      <w:r w:rsidRPr="00C9387D">
        <w:rPr>
          <w:lang w:val="fr-FR"/>
        </w:rPr>
        <w:t xml:space="preserve">4.2 La présente circulaire annule et remplace la circulaire </w:t>
      </w:r>
      <w:hyperlink r:id="rId15" w:history="1">
        <w:r w:rsidRPr="004933C3">
          <w:rPr>
            <w:rStyle w:val="Hyperlink"/>
            <w:lang w:val="fr-FR"/>
          </w:rPr>
          <w:t>ST/SGB/2003/4</w:t>
        </w:r>
      </w:hyperlink>
      <w:r w:rsidRPr="00C9387D">
        <w:rPr>
          <w:lang w:val="fr-FR"/>
        </w:rPr>
        <w:t xml:space="preserve"> du Secrétaire général, intitulée « Formules d</w:t>
      </w:r>
      <w:r w:rsidR="004933C3">
        <w:rPr>
          <w:lang w:val="fr-FR"/>
        </w:rPr>
        <w:t>’</w:t>
      </w:r>
      <w:r w:rsidRPr="00C9387D">
        <w:rPr>
          <w:lang w:val="fr-FR"/>
        </w:rPr>
        <w:t>organisation du travail plus souples ». L</w:t>
      </w:r>
      <w:r w:rsidR="004933C3">
        <w:rPr>
          <w:lang w:val="fr-FR"/>
        </w:rPr>
        <w:t>’</w:t>
      </w:r>
      <w:r w:rsidRPr="00C9387D">
        <w:rPr>
          <w:lang w:val="fr-FR"/>
        </w:rPr>
        <w:t xml:space="preserve">instruction administrative </w:t>
      </w:r>
      <w:hyperlink r:id="rId16" w:history="1">
        <w:r w:rsidRPr="004933C3">
          <w:rPr>
            <w:rStyle w:val="Hyperlink"/>
            <w:lang w:val="fr-FR"/>
          </w:rPr>
          <w:t>ST/AI/408</w:t>
        </w:r>
      </w:hyperlink>
      <w:r w:rsidRPr="00C9387D">
        <w:rPr>
          <w:lang w:val="fr-FR"/>
        </w:rPr>
        <w:t>, intitulée « Mise en place d</w:t>
      </w:r>
      <w:r w:rsidR="004933C3">
        <w:rPr>
          <w:lang w:val="fr-FR"/>
        </w:rPr>
        <w:t>’</w:t>
      </w:r>
      <w:r w:rsidRPr="00C9387D">
        <w:rPr>
          <w:lang w:val="fr-FR"/>
        </w:rPr>
        <w:t>un système d</w:t>
      </w:r>
      <w:r w:rsidR="004933C3">
        <w:rPr>
          <w:lang w:val="fr-FR"/>
        </w:rPr>
        <w:t>’</w:t>
      </w:r>
      <w:r w:rsidRPr="00C9387D">
        <w:rPr>
          <w:lang w:val="fr-FR"/>
        </w:rPr>
        <w:t>horaires de travail décalés au Siège », est annulée.</w:t>
      </w:r>
    </w:p>
    <w:p w14:paraId="3FBE5175" w14:textId="639B5451" w:rsidR="00C9387D" w:rsidRPr="000A40A4" w:rsidRDefault="00C9387D" w:rsidP="000A40A4">
      <w:pPr>
        <w:pStyle w:val="SingleTxt"/>
        <w:spacing w:after="0" w:line="120" w:lineRule="exact"/>
        <w:rPr>
          <w:sz w:val="10"/>
          <w:lang w:val="fr-FR"/>
        </w:rPr>
      </w:pPr>
    </w:p>
    <w:p w14:paraId="45A07C3D" w14:textId="39FACDC3" w:rsidR="00C9387D" w:rsidRDefault="000A40A4" w:rsidP="000A40A4">
      <w:pPr>
        <w:pStyle w:val="SingleTxt"/>
        <w:jc w:val="right"/>
        <w:rPr>
          <w:b/>
          <w:bCs/>
          <w:lang w:val="fr-FR"/>
        </w:rPr>
      </w:pPr>
      <w:r>
        <w:rPr>
          <w:lang w:val="fr-FR"/>
        </w:rPr>
        <w:t>Le Secrétaire général</w:t>
      </w:r>
      <w:r>
        <w:rPr>
          <w:lang w:val="fr-FR"/>
        </w:rPr>
        <w:br/>
      </w:r>
      <w:r w:rsidR="00C9387D" w:rsidRPr="00C9387D">
        <w:rPr>
          <w:lang w:val="fr-FR"/>
        </w:rPr>
        <w:t>(</w:t>
      </w:r>
      <w:r w:rsidR="00C9387D" w:rsidRPr="00C9387D">
        <w:rPr>
          <w:i/>
          <w:iCs/>
          <w:lang w:val="fr-FR"/>
        </w:rPr>
        <w:t>Signé</w:t>
      </w:r>
      <w:r w:rsidR="00C9387D" w:rsidRPr="00C9387D">
        <w:rPr>
          <w:lang w:val="fr-FR"/>
        </w:rPr>
        <w:t xml:space="preserve">) </w:t>
      </w:r>
      <w:r w:rsidR="00C9387D" w:rsidRPr="00C9387D">
        <w:rPr>
          <w:b/>
          <w:bCs/>
          <w:lang w:val="fr-FR"/>
        </w:rPr>
        <w:t>António Guterres</w:t>
      </w:r>
    </w:p>
    <w:p w14:paraId="4D14FA07" w14:textId="05622FC8" w:rsidR="00C9387D" w:rsidRPr="00C9387D" w:rsidRDefault="00C9387D" w:rsidP="00C9387D">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2CFB2D9" wp14:editId="114571F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7DAC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9387D" w:rsidRPr="00C9387D" w:rsidSect="00381749">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C2A5" w14:textId="77777777" w:rsidR="00386ACC" w:rsidRDefault="00386ACC" w:rsidP="00101B18">
      <w:pPr>
        <w:spacing w:line="240" w:lineRule="auto"/>
      </w:pPr>
      <w:r>
        <w:separator/>
      </w:r>
    </w:p>
  </w:endnote>
  <w:endnote w:type="continuationSeparator" w:id="0">
    <w:p w14:paraId="4B0275D2" w14:textId="77777777" w:rsidR="00386ACC" w:rsidRDefault="00386AC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1DB1" w14:paraId="7512760D" w14:textId="77777777" w:rsidTr="008E1DB1">
      <w:tc>
        <w:tcPr>
          <w:tcW w:w="4920" w:type="dxa"/>
          <w:shd w:val="clear" w:color="auto" w:fill="auto"/>
        </w:tcPr>
        <w:p w14:paraId="43816D0B" w14:textId="0F4D9FB5" w:rsidR="008E1DB1" w:rsidRPr="008E1DB1" w:rsidRDefault="008E1DB1" w:rsidP="008E1D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79B6">
            <w:rPr>
              <w:b w:val="0"/>
              <w:w w:val="103"/>
              <w:sz w:val="14"/>
            </w:rPr>
            <w:t>19-06581</w:t>
          </w:r>
          <w:r>
            <w:rPr>
              <w:b w:val="0"/>
              <w:w w:val="103"/>
              <w:sz w:val="14"/>
            </w:rPr>
            <w:fldChar w:fldCharType="end"/>
          </w:r>
        </w:p>
      </w:tc>
      <w:tc>
        <w:tcPr>
          <w:tcW w:w="4920" w:type="dxa"/>
          <w:shd w:val="clear" w:color="auto" w:fill="auto"/>
        </w:tcPr>
        <w:p w14:paraId="57410966" w14:textId="77777777" w:rsidR="008E1DB1" w:rsidRPr="008E1DB1" w:rsidRDefault="008E1DB1" w:rsidP="008E1DB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047D56B" w14:textId="77777777" w:rsidR="008E1DB1" w:rsidRPr="008E1DB1" w:rsidRDefault="008E1DB1" w:rsidP="008E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1DB1" w14:paraId="7D240586" w14:textId="77777777" w:rsidTr="008E1DB1">
      <w:tc>
        <w:tcPr>
          <w:tcW w:w="4920" w:type="dxa"/>
          <w:shd w:val="clear" w:color="auto" w:fill="auto"/>
        </w:tcPr>
        <w:p w14:paraId="4DCD4144" w14:textId="77777777" w:rsidR="008E1DB1" w:rsidRPr="008E1DB1" w:rsidRDefault="008E1DB1" w:rsidP="008E1DB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64DAE49" w14:textId="56DD93F7" w:rsidR="008E1DB1" w:rsidRPr="008E1DB1" w:rsidRDefault="008E1DB1" w:rsidP="008E1D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79B6">
            <w:rPr>
              <w:b w:val="0"/>
              <w:w w:val="103"/>
              <w:sz w:val="14"/>
            </w:rPr>
            <w:t>19-06581</w:t>
          </w:r>
          <w:r>
            <w:rPr>
              <w:b w:val="0"/>
              <w:w w:val="103"/>
              <w:sz w:val="14"/>
            </w:rPr>
            <w:fldChar w:fldCharType="end"/>
          </w:r>
        </w:p>
      </w:tc>
    </w:tr>
  </w:tbl>
  <w:p w14:paraId="69F4F22B" w14:textId="77777777" w:rsidR="008E1DB1" w:rsidRPr="008E1DB1" w:rsidRDefault="008E1DB1" w:rsidP="008E1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0E80" w14:textId="77777777" w:rsidR="008E1DB1" w:rsidRDefault="008E1DB1">
    <w:pPr>
      <w:pStyle w:val="Footer"/>
    </w:pPr>
    <w:r>
      <w:rPr>
        <w:noProof/>
      </w:rPr>
      <w:drawing>
        <wp:anchor distT="0" distB="0" distL="114300" distR="114300" simplePos="0" relativeHeight="251658240" behindDoc="0" locked="0" layoutInCell="1" allowOverlap="1" wp14:anchorId="723C90DD" wp14:editId="188E64D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E1DB1" w14:paraId="2E555D25" w14:textId="77777777" w:rsidTr="008E1DB1">
      <w:tc>
        <w:tcPr>
          <w:tcW w:w="3758" w:type="dxa"/>
        </w:tcPr>
        <w:p w14:paraId="1CE724EF" w14:textId="5A11A0C3" w:rsidR="008E1DB1" w:rsidRDefault="008E1DB1" w:rsidP="008E1DB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79B6">
            <w:rPr>
              <w:b w:val="0"/>
              <w:sz w:val="20"/>
            </w:rPr>
            <w:t>19-06581 (F)</w:t>
          </w:r>
          <w:r>
            <w:rPr>
              <w:b w:val="0"/>
              <w:sz w:val="20"/>
            </w:rPr>
            <w:fldChar w:fldCharType="end"/>
          </w:r>
          <w:r>
            <w:rPr>
              <w:b w:val="0"/>
              <w:sz w:val="20"/>
            </w:rPr>
            <w:t xml:space="preserve">    240419    240419</w:t>
          </w:r>
        </w:p>
        <w:p w14:paraId="6A80B5E5" w14:textId="53570BC7" w:rsidR="008E1DB1" w:rsidRPr="008E1DB1" w:rsidRDefault="008E1DB1" w:rsidP="008E1DB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679B6">
            <w:rPr>
              <w:rFonts w:ascii="Barcode 3 of 9 by request" w:hAnsi="Barcode 3 of 9 by request"/>
              <w:spacing w:val="0"/>
              <w:w w:val="100"/>
              <w:sz w:val="24"/>
            </w:rPr>
            <w:t>*1906581*</w:t>
          </w:r>
          <w:r>
            <w:rPr>
              <w:rFonts w:ascii="Barcode 3 of 9 by request" w:hAnsi="Barcode 3 of 9 by request"/>
              <w:spacing w:val="0"/>
              <w:w w:val="100"/>
              <w:sz w:val="24"/>
            </w:rPr>
            <w:fldChar w:fldCharType="end"/>
          </w:r>
        </w:p>
      </w:tc>
      <w:tc>
        <w:tcPr>
          <w:tcW w:w="4920" w:type="dxa"/>
        </w:tcPr>
        <w:p w14:paraId="66CF008F" w14:textId="77777777" w:rsidR="008E1DB1" w:rsidRDefault="008E1DB1" w:rsidP="008E1DB1">
          <w:pPr>
            <w:pStyle w:val="Footer"/>
            <w:spacing w:line="240" w:lineRule="atLeast"/>
            <w:jc w:val="right"/>
            <w:rPr>
              <w:b w:val="0"/>
              <w:sz w:val="20"/>
            </w:rPr>
          </w:pPr>
          <w:r>
            <w:rPr>
              <w:b w:val="0"/>
              <w:noProof/>
              <w:sz w:val="20"/>
            </w:rPr>
            <w:drawing>
              <wp:inline distT="0" distB="0" distL="0" distR="0" wp14:anchorId="29BEB3EB" wp14:editId="1408F9D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BE31D33" w14:textId="77777777" w:rsidR="008E1DB1" w:rsidRPr="008E1DB1" w:rsidRDefault="008E1DB1" w:rsidP="008E1DB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E818" w14:textId="0F1506A6" w:rsidR="00386ACC" w:rsidRPr="009C46D7" w:rsidRDefault="009C46D7" w:rsidP="009C46D7">
      <w:pPr>
        <w:pStyle w:val="Footer"/>
        <w:spacing w:after="80"/>
        <w:ind w:left="792"/>
        <w:rPr>
          <w:sz w:val="16"/>
        </w:rPr>
      </w:pPr>
      <w:r w:rsidRPr="009C46D7">
        <w:rPr>
          <w:sz w:val="16"/>
        </w:rPr>
        <w:t>__________________</w:t>
      </w:r>
    </w:p>
  </w:footnote>
  <w:footnote w:type="continuationSeparator" w:id="0">
    <w:p w14:paraId="7DA1B6B8" w14:textId="652DC953" w:rsidR="00386ACC" w:rsidRPr="009C46D7" w:rsidRDefault="009C46D7" w:rsidP="009C46D7">
      <w:pPr>
        <w:pStyle w:val="Footer"/>
        <w:spacing w:after="80"/>
        <w:ind w:left="792"/>
        <w:rPr>
          <w:sz w:val="16"/>
        </w:rPr>
      </w:pPr>
      <w:r w:rsidRPr="009C46D7">
        <w:rPr>
          <w:sz w:val="16"/>
        </w:rPr>
        <w:t>__________________</w:t>
      </w:r>
    </w:p>
  </w:footnote>
  <w:footnote w:id="1">
    <w:p w14:paraId="2C5580CA" w14:textId="0A984A08" w:rsidR="00C9387D" w:rsidRPr="00C11A1F" w:rsidRDefault="00DA2BDE" w:rsidP="009C46D7">
      <w:pPr>
        <w:pStyle w:val="FootnoteText"/>
        <w:tabs>
          <w:tab w:val="right" w:pos="1195"/>
          <w:tab w:val="left" w:pos="1267"/>
          <w:tab w:val="left" w:pos="1742"/>
          <w:tab w:val="left" w:pos="2218"/>
          <w:tab w:val="left" w:pos="2693"/>
        </w:tabs>
        <w:ind w:left="1267" w:right="1260" w:hanging="576"/>
        <w:rPr>
          <w:lang w:val="fr-FR"/>
        </w:rPr>
      </w:pPr>
      <w:r>
        <w:rPr>
          <w:lang w:val="fr-FR"/>
        </w:rPr>
        <w:tab/>
      </w:r>
      <w:r w:rsidR="00C9387D">
        <w:rPr>
          <w:rStyle w:val="FootnoteReference"/>
        </w:rPr>
        <w:footnoteRef/>
      </w:r>
      <w:r w:rsidR="00C9387D" w:rsidRPr="009C46D7">
        <w:rPr>
          <w:lang w:val="fr-FR"/>
        </w:rPr>
        <w:tab/>
        <w:t>Les premiers notateurs sont considérés comme les mieux placés pour évaluer les fonctions et la performance des fonctionnaires lorsque des demandes d</w:t>
      </w:r>
      <w:r w:rsidR="004933C3" w:rsidRPr="009C46D7">
        <w:rPr>
          <w:lang w:val="fr-FR"/>
        </w:rPr>
        <w:t>’</w:t>
      </w:r>
      <w:r w:rsidR="00C9387D" w:rsidRPr="009C46D7">
        <w:rPr>
          <w:lang w:val="fr-FR"/>
        </w:rPr>
        <w:t>aménagement des modalités de travail sont présentées et examinées.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1DB1" w14:paraId="672487BE" w14:textId="77777777" w:rsidTr="008E1DB1">
      <w:trPr>
        <w:trHeight w:hRule="exact" w:val="864"/>
      </w:trPr>
      <w:tc>
        <w:tcPr>
          <w:tcW w:w="4920" w:type="dxa"/>
          <w:shd w:val="clear" w:color="auto" w:fill="auto"/>
          <w:vAlign w:val="bottom"/>
        </w:tcPr>
        <w:p w14:paraId="10ABD362" w14:textId="1F21ED0A" w:rsidR="008E1DB1" w:rsidRPr="008E1DB1" w:rsidRDefault="008E1DB1" w:rsidP="008E1DB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79B6">
            <w:rPr>
              <w:b/>
              <w:color w:val="000000"/>
            </w:rPr>
            <w:t>ST/SGB/2019/3</w:t>
          </w:r>
          <w:r>
            <w:rPr>
              <w:b/>
              <w:color w:val="000000"/>
            </w:rPr>
            <w:fldChar w:fldCharType="end"/>
          </w:r>
        </w:p>
      </w:tc>
      <w:tc>
        <w:tcPr>
          <w:tcW w:w="4920" w:type="dxa"/>
          <w:shd w:val="clear" w:color="auto" w:fill="auto"/>
          <w:vAlign w:val="bottom"/>
        </w:tcPr>
        <w:p w14:paraId="2AD9231B" w14:textId="77777777" w:rsidR="008E1DB1" w:rsidRDefault="008E1DB1" w:rsidP="008E1DB1">
          <w:pPr>
            <w:pStyle w:val="Header"/>
          </w:pPr>
        </w:p>
      </w:tc>
    </w:tr>
  </w:tbl>
  <w:p w14:paraId="7F78620E" w14:textId="77777777" w:rsidR="008E1DB1" w:rsidRPr="008E1DB1" w:rsidRDefault="008E1DB1" w:rsidP="008E1DB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1DB1" w14:paraId="5138CB91" w14:textId="77777777" w:rsidTr="008E1DB1">
      <w:trPr>
        <w:trHeight w:hRule="exact" w:val="864"/>
      </w:trPr>
      <w:tc>
        <w:tcPr>
          <w:tcW w:w="4920" w:type="dxa"/>
          <w:shd w:val="clear" w:color="auto" w:fill="auto"/>
          <w:vAlign w:val="bottom"/>
        </w:tcPr>
        <w:p w14:paraId="40EC926C" w14:textId="77777777" w:rsidR="008E1DB1" w:rsidRDefault="008E1DB1" w:rsidP="008E1DB1">
          <w:pPr>
            <w:pStyle w:val="Header"/>
          </w:pPr>
        </w:p>
      </w:tc>
      <w:tc>
        <w:tcPr>
          <w:tcW w:w="4920" w:type="dxa"/>
          <w:shd w:val="clear" w:color="auto" w:fill="auto"/>
          <w:vAlign w:val="bottom"/>
        </w:tcPr>
        <w:p w14:paraId="4EBA0403" w14:textId="5AF1C525" w:rsidR="008E1DB1" w:rsidRPr="008E1DB1" w:rsidRDefault="008E1DB1" w:rsidP="008E1DB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79B6">
            <w:rPr>
              <w:b/>
              <w:color w:val="000000"/>
            </w:rPr>
            <w:t>ST/SGB/2019/3</w:t>
          </w:r>
          <w:r>
            <w:rPr>
              <w:b/>
              <w:color w:val="000000"/>
            </w:rPr>
            <w:fldChar w:fldCharType="end"/>
          </w:r>
        </w:p>
      </w:tc>
    </w:tr>
  </w:tbl>
  <w:p w14:paraId="0AE669C6" w14:textId="77777777" w:rsidR="008E1DB1" w:rsidRPr="008E1DB1" w:rsidRDefault="008E1DB1" w:rsidP="008E1DB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E1DB1" w14:paraId="2E3917F6" w14:textId="77777777" w:rsidTr="008E1DB1">
      <w:trPr>
        <w:trHeight w:hRule="exact" w:val="864"/>
      </w:trPr>
      <w:tc>
        <w:tcPr>
          <w:tcW w:w="1267" w:type="dxa"/>
          <w:tcBorders>
            <w:bottom w:val="single" w:sz="4" w:space="0" w:color="auto"/>
          </w:tcBorders>
          <w:shd w:val="clear" w:color="auto" w:fill="auto"/>
          <w:vAlign w:val="bottom"/>
        </w:tcPr>
        <w:p w14:paraId="67919B42" w14:textId="77777777" w:rsidR="008E1DB1" w:rsidRDefault="008E1DB1" w:rsidP="008E1DB1">
          <w:pPr>
            <w:pStyle w:val="Header"/>
            <w:spacing w:after="120"/>
          </w:pPr>
        </w:p>
      </w:tc>
      <w:tc>
        <w:tcPr>
          <w:tcW w:w="2059" w:type="dxa"/>
          <w:tcBorders>
            <w:bottom w:val="single" w:sz="4" w:space="0" w:color="auto"/>
          </w:tcBorders>
          <w:shd w:val="clear" w:color="auto" w:fill="auto"/>
          <w:vAlign w:val="bottom"/>
        </w:tcPr>
        <w:p w14:paraId="57FE144F" w14:textId="77777777" w:rsidR="008E1DB1" w:rsidRPr="008E1DB1" w:rsidRDefault="008E1DB1" w:rsidP="008E1DB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95DF2AA" w14:textId="77777777" w:rsidR="008E1DB1" w:rsidRDefault="008E1DB1" w:rsidP="008E1DB1">
          <w:pPr>
            <w:pStyle w:val="Header"/>
            <w:spacing w:after="120"/>
          </w:pPr>
        </w:p>
      </w:tc>
      <w:tc>
        <w:tcPr>
          <w:tcW w:w="6466" w:type="dxa"/>
          <w:gridSpan w:val="3"/>
          <w:tcBorders>
            <w:bottom w:val="single" w:sz="4" w:space="0" w:color="auto"/>
          </w:tcBorders>
          <w:shd w:val="clear" w:color="auto" w:fill="auto"/>
          <w:vAlign w:val="bottom"/>
        </w:tcPr>
        <w:p w14:paraId="3433470A" w14:textId="77777777" w:rsidR="008E1DB1" w:rsidRPr="008E1DB1" w:rsidRDefault="008E1DB1" w:rsidP="008E1DB1">
          <w:pPr>
            <w:spacing w:after="80" w:line="240" w:lineRule="auto"/>
            <w:jc w:val="right"/>
            <w:rPr>
              <w:position w:val="-4"/>
            </w:rPr>
          </w:pPr>
          <w:r>
            <w:rPr>
              <w:position w:val="-4"/>
              <w:sz w:val="40"/>
            </w:rPr>
            <w:t>ST</w:t>
          </w:r>
          <w:r>
            <w:rPr>
              <w:position w:val="-4"/>
            </w:rPr>
            <w:t>/SGB/2019/3</w:t>
          </w:r>
        </w:p>
      </w:tc>
    </w:tr>
    <w:tr w:rsidR="008E1DB1" w:rsidRPr="008E1DB1" w14:paraId="5EBA6E44" w14:textId="77777777" w:rsidTr="008E1DB1">
      <w:trPr>
        <w:trHeight w:hRule="exact" w:val="2880"/>
      </w:trPr>
      <w:tc>
        <w:tcPr>
          <w:tcW w:w="1267" w:type="dxa"/>
          <w:tcBorders>
            <w:top w:val="single" w:sz="4" w:space="0" w:color="auto"/>
            <w:bottom w:val="single" w:sz="12" w:space="0" w:color="auto"/>
          </w:tcBorders>
          <w:shd w:val="clear" w:color="auto" w:fill="auto"/>
        </w:tcPr>
        <w:p w14:paraId="5F58FD3A" w14:textId="77777777" w:rsidR="008E1DB1" w:rsidRPr="008E1DB1" w:rsidRDefault="008E1DB1" w:rsidP="008E1DB1">
          <w:pPr>
            <w:pStyle w:val="Header"/>
            <w:spacing w:before="120" w:line="240" w:lineRule="auto"/>
            <w:ind w:left="-72"/>
            <w:jc w:val="center"/>
          </w:pPr>
          <w:r>
            <w:t xml:space="preserve">  </w:t>
          </w:r>
          <w:r>
            <w:rPr>
              <w:noProof/>
            </w:rPr>
            <w:drawing>
              <wp:inline distT="0" distB="0" distL="0" distR="0" wp14:anchorId="24C06910" wp14:editId="048B62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F77122" w14:textId="77777777" w:rsidR="008E1DB1" w:rsidRPr="008E1DB1" w:rsidRDefault="008E1DB1" w:rsidP="008E1DB1">
          <w:pPr>
            <w:pStyle w:val="XLarge"/>
            <w:spacing w:before="109"/>
          </w:pPr>
          <w:r>
            <w:t>Secrétariat</w:t>
          </w:r>
        </w:p>
      </w:tc>
      <w:tc>
        <w:tcPr>
          <w:tcW w:w="245" w:type="dxa"/>
          <w:tcBorders>
            <w:top w:val="single" w:sz="4" w:space="0" w:color="auto"/>
            <w:bottom w:val="single" w:sz="12" w:space="0" w:color="auto"/>
          </w:tcBorders>
          <w:shd w:val="clear" w:color="auto" w:fill="auto"/>
        </w:tcPr>
        <w:p w14:paraId="76BC2819" w14:textId="77777777" w:rsidR="008E1DB1" w:rsidRPr="008E1DB1" w:rsidRDefault="008E1DB1" w:rsidP="008E1DB1">
          <w:pPr>
            <w:pStyle w:val="Header"/>
            <w:spacing w:before="109"/>
          </w:pPr>
        </w:p>
      </w:tc>
      <w:tc>
        <w:tcPr>
          <w:tcW w:w="3110" w:type="dxa"/>
          <w:tcBorders>
            <w:top w:val="single" w:sz="4" w:space="0" w:color="auto"/>
            <w:bottom w:val="single" w:sz="12" w:space="0" w:color="auto"/>
          </w:tcBorders>
          <w:shd w:val="clear" w:color="auto" w:fill="auto"/>
        </w:tcPr>
        <w:p w14:paraId="2B5B45F0" w14:textId="77777777" w:rsidR="008E1DB1" w:rsidRDefault="008E1DB1" w:rsidP="008E1DB1">
          <w:pPr>
            <w:pStyle w:val="Publication"/>
            <w:spacing w:before="400"/>
            <w:rPr>
              <w:color w:val="000000"/>
            </w:rPr>
          </w:pPr>
          <w:r>
            <w:rPr>
              <w:color w:val="000000"/>
            </w:rPr>
            <w:t xml:space="preserve">18 </w:t>
          </w:r>
          <w:proofErr w:type="spellStart"/>
          <w:r>
            <w:rPr>
              <w:color w:val="000000"/>
            </w:rPr>
            <w:t>avril</w:t>
          </w:r>
          <w:proofErr w:type="spellEnd"/>
          <w:r>
            <w:rPr>
              <w:color w:val="000000"/>
            </w:rPr>
            <w:t xml:space="preserve"> 2019</w:t>
          </w:r>
        </w:p>
        <w:p w14:paraId="6796CF98" w14:textId="09F53180" w:rsidR="008E1DB1" w:rsidRDefault="008E1DB1" w:rsidP="008E1DB1">
          <w:pPr>
            <w:rPr>
              <w:lang w:val="en-US"/>
            </w:rPr>
          </w:pPr>
        </w:p>
        <w:p w14:paraId="1FA6D808" w14:textId="4A576465" w:rsidR="008E1DB1" w:rsidRPr="008E1DB1" w:rsidRDefault="008E1DB1" w:rsidP="008E1DB1">
          <w:pPr>
            <w:pStyle w:val="Original"/>
            <w:rPr>
              <w:color w:val="000000"/>
            </w:rPr>
          </w:pPr>
        </w:p>
      </w:tc>
    </w:tr>
  </w:tbl>
  <w:p w14:paraId="31250BDC" w14:textId="77777777" w:rsidR="008E1DB1" w:rsidRPr="008E1DB1" w:rsidRDefault="008E1DB1" w:rsidP="008E1DB1">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D3AD33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EF2A2B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29A6538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917E9"/>
    <w:multiLevelType w:val="multilevel"/>
    <w:tmpl w:val="F252C572"/>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5B0A78"/>
    <w:multiLevelType w:val="multilevel"/>
    <w:tmpl w:val="6E2AA274"/>
    <w:lvl w:ilvl="0">
      <w:start w:val="1"/>
      <w:numFmt w:val="decimal"/>
      <w:lvlText w:val="Section %1."/>
      <w:lvlJc w:val="left"/>
      <w:pPr>
        <w:ind w:left="1785" w:hanging="360"/>
      </w:pPr>
      <w:rPr>
        <w:rFonts w:hint="default"/>
        <w:b/>
      </w:rPr>
    </w:lvl>
    <w:lvl w:ilvl="1">
      <w:start w:val="1"/>
      <w:numFmt w:val="decimal"/>
      <w:lvlText w:val="%1.%2."/>
      <w:lvlJc w:val="left"/>
      <w:pPr>
        <w:ind w:left="2217" w:hanging="432"/>
      </w:pPr>
      <w:rPr>
        <w:rFonts w:hint="default"/>
      </w:rPr>
    </w:lvl>
    <w:lvl w:ilvl="2">
      <w:start w:val="1"/>
      <w:numFmt w:val="lowerLetter"/>
      <w:lvlText w:val="%3)"/>
      <w:lvlJc w:val="left"/>
      <w:pPr>
        <w:ind w:left="2649" w:hanging="504"/>
      </w:pPr>
      <w:rPr>
        <w:rFonts w:hint="default"/>
      </w:rPr>
    </w:lvl>
    <w:lvl w:ilvl="3">
      <w:start w:val="1"/>
      <w:numFmt w:val="decimal"/>
      <w:lvlText w:val="%1.%2.%3.%4."/>
      <w:lvlJc w:val="left"/>
      <w:pPr>
        <w:ind w:left="3153" w:hanging="648"/>
      </w:pPr>
      <w:rPr>
        <w:rFonts w:hint="default"/>
      </w:rPr>
    </w:lvl>
    <w:lvl w:ilvl="4">
      <w:start w:val="1"/>
      <w:numFmt w:val="decimal"/>
      <w:lvlText w:val="%1.%2.%3.%4.%5."/>
      <w:lvlJc w:val="left"/>
      <w:pPr>
        <w:ind w:left="3657" w:hanging="792"/>
      </w:pPr>
      <w:rPr>
        <w:rFonts w:hint="default"/>
      </w:rPr>
    </w:lvl>
    <w:lvl w:ilvl="5">
      <w:start w:val="1"/>
      <w:numFmt w:val="decimal"/>
      <w:lvlText w:val="%1.%2.%3.%4.%5.%6."/>
      <w:lvlJc w:val="left"/>
      <w:pPr>
        <w:ind w:left="4161" w:hanging="936"/>
      </w:pPr>
      <w:rPr>
        <w:rFonts w:hint="default"/>
      </w:rPr>
    </w:lvl>
    <w:lvl w:ilvl="6">
      <w:start w:val="1"/>
      <w:numFmt w:val="decimal"/>
      <w:lvlText w:val="%1.%2.%3.%4.%5.%6.%7."/>
      <w:lvlJc w:val="left"/>
      <w:pPr>
        <w:ind w:left="4665" w:hanging="1080"/>
      </w:pPr>
      <w:rPr>
        <w:rFonts w:hint="default"/>
      </w:rPr>
    </w:lvl>
    <w:lvl w:ilvl="7">
      <w:start w:val="1"/>
      <w:numFmt w:val="decimal"/>
      <w:lvlText w:val="%1.%2.%3.%4.%5.%6.%7.%8."/>
      <w:lvlJc w:val="left"/>
      <w:pPr>
        <w:ind w:left="5169" w:hanging="1224"/>
      </w:pPr>
      <w:rPr>
        <w:rFonts w:hint="default"/>
      </w:rPr>
    </w:lvl>
    <w:lvl w:ilvl="8">
      <w:start w:val="1"/>
      <w:numFmt w:val="decimal"/>
      <w:lvlText w:val="%1.%2.%3.%4.%5.%6.%7.%8.%9."/>
      <w:lvlJc w:val="left"/>
      <w:pPr>
        <w:ind w:left="5745" w:hanging="1440"/>
      </w:pPr>
      <w:rPr>
        <w:rFonts w:hint="default"/>
      </w:rPr>
    </w:lvl>
  </w:abstractNum>
  <w:abstractNum w:abstractNumId="5" w15:restartNumberingAfterBreak="0">
    <w:nsid w:val="47B40547"/>
    <w:multiLevelType w:val="hybridMultilevel"/>
    <w:tmpl w:val="AD30BFD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lvlOverride w:ilvl="0">
      <w:lvl w:ilvl="0">
        <w:start w:val="1"/>
        <w:numFmt w:val="decimal"/>
        <w:lvlText w:val="Section %1."/>
        <w:lvlJc w:val="left"/>
        <w:pPr>
          <w:ind w:left="360" w:hanging="360"/>
        </w:pPr>
        <w:rPr>
          <w:rFonts w:hint="default"/>
        </w:rPr>
      </w:lvl>
    </w:lvlOverride>
  </w:num>
  <w:num w:numId="30">
    <w:abstractNumId w:val="4"/>
    <w:lvlOverride w:ilvl="0">
      <w:lvl w:ilvl="0">
        <w:start w:val="1"/>
        <w:numFmt w:val="decimal"/>
        <w:lvlText w:val="Section %1."/>
        <w:lvlJc w:val="left"/>
        <w:pPr>
          <w:ind w:left="1785" w:hanging="360"/>
        </w:pPr>
        <w:rPr>
          <w:rFonts w:hint="default"/>
          <w:b/>
        </w:rPr>
      </w:lvl>
    </w:lvlOverride>
    <w:lvlOverride w:ilvl="1">
      <w:lvl w:ilvl="1">
        <w:start w:val="1"/>
        <w:numFmt w:val="decimal"/>
        <w:lvlText w:val="%1.%2."/>
        <w:lvlJc w:val="left"/>
        <w:pPr>
          <w:ind w:left="2217" w:hanging="432"/>
        </w:pPr>
        <w:rPr>
          <w:rFonts w:hint="default"/>
        </w:rPr>
      </w:lvl>
    </w:lvlOverride>
    <w:lvlOverride w:ilvl="2">
      <w:lvl w:ilvl="2">
        <w:start w:val="1"/>
        <w:numFmt w:val="lowerLetter"/>
        <w:lvlText w:val="%3)"/>
        <w:lvlJc w:val="left"/>
        <w:pPr>
          <w:ind w:left="2649" w:hanging="504"/>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581*"/>
    <w:docVar w:name="CreationDt" w:val="24/04/2019 8:17: PM"/>
    <w:docVar w:name="DocCategory" w:val="Doc"/>
    <w:docVar w:name="DocType" w:val="Final"/>
    <w:docVar w:name="DutyStation" w:val="New York"/>
    <w:docVar w:name="FooterJN" w:val="19-06581"/>
    <w:docVar w:name="jobn" w:val="19-06581 (F)"/>
    <w:docVar w:name="jobnDT" w:val="19-06581 (F)   240419"/>
    <w:docVar w:name="jobnDTDT" w:val="19-06581 (F)   240419   240419"/>
    <w:docVar w:name="JobNo" w:val="1906581F"/>
    <w:docVar w:name="JobNo2" w:val="1911478F"/>
    <w:docVar w:name="LocalDrive" w:val="0"/>
    <w:docVar w:name="OandT" w:val="MKC"/>
    <w:docVar w:name="sss1" w:val="ST/SGB/2019/3"/>
    <w:docVar w:name="sss2" w:val="-"/>
    <w:docVar w:name="Symbol1" w:val="ST/SGB/2019/3"/>
    <w:docVar w:name="Symbol2" w:val="-"/>
  </w:docVars>
  <w:rsids>
    <w:rsidRoot w:val="00386ACC"/>
    <w:rsid w:val="00002584"/>
    <w:rsid w:val="000615B3"/>
    <w:rsid w:val="00071D43"/>
    <w:rsid w:val="00082144"/>
    <w:rsid w:val="0008413B"/>
    <w:rsid w:val="000A40A4"/>
    <w:rsid w:val="000D1F63"/>
    <w:rsid w:val="000E1912"/>
    <w:rsid w:val="00101B18"/>
    <w:rsid w:val="00122A56"/>
    <w:rsid w:val="00125768"/>
    <w:rsid w:val="00134FEE"/>
    <w:rsid w:val="00146C6A"/>
    <w:rsid w:val="00166A0D"/>
    <w:rsid w:val="001E4B50"/>
    <w:rsid w:val="002478A0"/>
    <w:rsid w:val="002A5E20"/>
    <w:rsid w:val="00366D21"/>
    <w:rsid w:val="00381749"/>
    <w:rsid w:val="00386ACC"/>
    <w:rsid w:val="003A675A"/>
    <w:rsid w:val="003C49B9"/>
    <w:rsid w:val="003D41DE"/>
    <w:rsid w:val="003F61E1"/>
    <w:rsid w:val="00417443"/>
    <w:rsid w:val="00440C93"/>
    <w:rsid w:val="00480B84"/>
    <w:rsid w:val="004933C3"/>
    <w:rsid w:val="004B64F9"/>
    <w:rsid w:val="004C1A25"/>
    <w:rsid w:val="004D5CC2"/>
    <w:rsid w:val="00515991"/>
    <w:rsid w:val="005225EC"/>
    <w:rsid w:val="00525097"/>
    <w:rsid w:val="005509B6"/>
    <w:rsid w:val="005F1F5F"/>
    <w:rsid w:val="00674F1D"/>
    <w:rsid w:val="00690698"/>
    <w:rsid w:val="006E4A4B"/>
    <w:rsid w:val="0071775B"/>
    <w:rsid w:val="007459AE"/>
    <w:rsid w:val="007531A5"/>
    <w:rsid w:val="00771C9E"/>
    <w:rsid w:val="0077441B"/>
    <w:rsid w:val="0082045E"/>
    <w:rsid w:val="008222A3"/>
    <w:rsid w:val="008534CA"/>
    <w:rsid w:val="00857DCA"/>
    <w:rsid w:val="008E1DB1"/>
    <w:rsid w:val="008F3462"/>
    <w:rsid w:val="00935932"/>
    <w:rsid w:val="00993CB7"/>
    <w:rsid w:val="009C46D7"/>
    <w:rsid w:val="009D0EE3"/>
    <w:rsid w:val="00A05DE1"/>
    <w:rsid w:val="00A2494D"/>
    <w:rsid w:val="00A536A1"/>
    <w:rsid w:val="00A77FF7"/>
    <w:rsid w:val="00AB0B7D"/>
    <w:rsid w:val="00AD5F2F"/>
    <w:rsid w:val="00B26225"/>
    <w:rsid w:val="00B679B6"/>
    <w:rsid w:val="00B858D5"/>
    <w:rsid w:val="00C9387D"/>
    <w:rsid w:val="00CB06FB"/>
    <w:rsid w:val="00CB63C5"/>
    <w:rsid w:val="00CC194F"/>
    <w:rsid w:val="00CC79AF"/>
    <w:rsid w:val="00D30EED"/>
    <w:rsid w:val="00DA2BDE"/>
    <w:rsid w:val="00DA7B9B"/>
    <w:rsid w:val="00DB33F6"/>
    <w:rsid w:val="00E10DBF"/>
    <w:rsid w:val="00E343A6"/>
    <w:rsid w:val="00E7105F"/>
    <w:rsid w:val="00EE37EC"/>
    <w:rsid w:val="00EE6CDA"/>
    <w:rsid w:val="00EF2DFA"/>
    <w:rsid w:val="00F3153C"/>
    <w:rsid w:val="00F5012D"/>
    <w:rsid w:val="00F73093"/>
    <w:rsid w:val="00F9080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675AB"/>
  <w15:chartTrackingRefBased/>
  <w15:docId w15:val="{9B9BA33D-C92E-4E54-82B4-3713EBE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80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9080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9080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9080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9080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9080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9080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9080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9080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9080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90803"/>
    <w:pPr>
      <w:keepNext/>
      <w:keepLines/>
      <w:suppressAutoHyphens/>
      <w:spacing w:line="270" w:lineRule="exact"/>
      <w:outlineLvl w:val="0"/>
    </w:pPr>
    <w:rPr>
      <w:b/>
      <w:sz w:val="24"/>
    </w:rPr>
  </w:style>
  <w:style w:type="paragraph" w:customStyle="1" w:styleId="HCH">
    <w:name w:val="_ H _CH"/>
    <w:basedOn w:val="H1"/>
    <w:next w:val="Normal"/>
    <w:qFormat/>
    <w:rsid w:val="00F90803"/>
    <w:pPr>
      <w:spacing w:line="300" w:lineRule="exact"/>
    </w:pPr>
    <w:rPr>
      <w:spacing w:val="-2"/>
      <w:sz w:val="28"/>
    </w:rPr>
  </w:style>
  <w:style w:type="paragraph" w:customStyle="1" w:styleId="HM">
    <w:name w:val="_ H __M"/>
    <w:basedOn w:val="HCH"/>
    <w:next w:val="Normal"/>
    <w:qFormat/>
    <w:rsid w:val="00F90803"/>
    <w:pPr>
      <w:spacing w:line="360" w:lineRule="exact"/>
    </w:pPr>
    <w:rPr>
      <w:spacing w:val="-3"/>
      <w:w w:val="99"/>
      <w:sz w:val="34"/>
    </w:rPr>
  </w:style>
  <w:style w:type="paragraph" w:customStyle="1" w:styleId="H23">
    <w:name w:val="_ H_2/3"/>
    <w:basedOn w:val="H1"/>
    <w:next w:val="SingleTxt"/>
    <w:qFormat/>
    <w:rsid w:val="00F90803"/>
    <w:pPr>
      <w:spacing w:line="240" w:lineRule="exact"/>
      <w:outlineLvl w:val="1"/>
    </w:pPr>
    <w:rPr>
      <w:spacing w:val="2"/>
      <w:sz w:val="20"/>
    </w:rPr>
  </w:style>
  <w:style w:type="paragraph" w:customStyle="1" w:styleId="H4">
    <w:name w:val="_ H_4"/>
    <w:basedOn w:val="Normal"/>
    <w:next w:val="Normal"/>
    <w:qFormat/>
    <w:rsid w:val="00F90803"/>
    <w:pPr>
      <w:keepNext/>
      <w:keepLines/>
      <w:tabs>
        <w:tab w:val="right" w:pos="360"/>
      </w:tabs>
      <w:suppressAutoHyphens/>
      <w:outlineLvl w:val="3"/>
    </w:pPr>
    <w:rPr>
      <w:i/>
      <w:spacing w:val="3"/>
    </w:rPr>
  </w:style>
  <w:style w:type="paragraph" w:customStyle="1" w:styleId="H56">
    <w:name w:val="_ H_5/6"/>
    <w:basedOn w:val="Normal"/>
    <w:next w:val="Normal"/>
    <w:qFormat/>
    <w:rsid w:val="00F9080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9080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9080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90803"/>
    <w:pPr>
      <w:spacing w:line="540" w:lineRule="exact"/>
    </w:pPr>
    <w:rPr>
      <w:spacing w:val="-8"/>
      <w:w w:val="96"/>
      <w:sz w:val="57"/>
    </w:rPr>
  </w:style>
  <w:style w:type="paragraph" w:customStyle="1" w:styleId="SS">
    <w:name w:val="__S_S"/>
    <w:basedOn w:val="HCH"/>
    <w:next w:val="Normal"/>
    <w:qFormat/>
    <w:rsid w:val="00F90803"/>
    <w:pPr>
      <w:ind w:left="1267" w:right="1267"/>
    </w:pPr>
  </w:style>
  <w:style w:type="paragraph" w:customStyle="1" w:styleId="SingleTxt">
    <w:name w:val="__Single Txt"/>
    <w:basedOn w:val="Normal"/>
    <w:qFormat/>
    <w:rsid w:val="00F9080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9080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908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9080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908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080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90803"/>
    <w:pPr>
      <w:numPr>
        <w:numId w:val="17"/>
      </w:numPr>
      <w:spacing w:after="120"/>
      <w:ind w:right="1267"/>
      <w:jc w:val="both"/>
    </w:pPr>
  </w:style>
  <w:style w:type="paragraph" w:customStyle="1" w:styleId="Bullet2">
    <w:name w:val="Bullet 2"/>
    <w:basedOn w:val="Normal"/>
    <w:qFormat/>
    <w:rsid w:val="00F90803"/>
    <w:pPr>
      <w:numPr>
        <w:numId w:val="18"/>
      </w:numPr>
      <w:spacing w:after="120"/>
      <w:ind w:right="1264"/>
      <w:jc w:val="both"/>
    </w:pPr>
  </w:style>
  <w:style w:type="paragraph" w:customStyle="1" w:styleId="Bullet3">
    <w:name w:val="Bullet 3"/>
    <w:basedOn w:val="SingleTxt"/>
    <w:qFormat/>
    <w:rsid w:val="00F9080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9080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9080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90803"/>
    <w:pPr>
      <w:spacing w:line="210" w:lineRule="exact"/>
    </w:pPr>
    <w:rPr>
      <w:sz w:val="17"/>
      <w:szCs w:val="20"/>
    </w:rPr>
  </w:style>
  <w:style w:type="character" w:customStyle="1" w:styleId="EndnoteTextChar">
    <w:name w:val="Endnote Text Char"/>
    <w:link w:val="EndnoteText"/>
    <w:uiPriority w:val="99"/>
    <w:semiHidden/>
    <w:rsid w:val="00F9080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9080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9080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9080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90803"/>
    <w:pPr>
      <w:spacing w:line="210" w:lineRule="exact"/>
    </w:pPr>
    <w:rPr>
      <w:sz w:val="17"/>
      <w:szCs w:val="20"/>
    </w:rPr>
  </w:style>
  <w:style w:type="character" w:customStyle="1" w:styleId="FootnoteTextChar">
    <w:name w:val="Footnote Text Char"/>
    <w:link w:val="FootnoteText"/>
    <w:uiPriority w:val="99"/>
    <w:rsid w:val="00F9080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9080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9080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9080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9080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9080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9080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9080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9080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9080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9080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9080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90803"/>
    <w:rPr>
      <w:sz w:val="14"/>
    </w:rPr>
  </w:style>
  <w:style w:type="paragraph" w:styleId="ListParagraph">
    <w:name w:val="List Paragraph"/>
    <w:basedOn w:val="Normal"/>
    <w:uiPriority w:val="34"/>
    <w:rsid w:val="00F90803"/>
    <w:pPr>
      <w:ind w:left="720"/>
      <w:contextualSpacing/>
    </w:pPr>
  </w:style>
  <w:style w:type="paragraph" w:styleId="NoSpacing">
    <w:name w:val="No Spacing"/>
    <w:uiPriority w:val="1"/>
    <w:rsid w:val="00F9080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90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9080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9080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90803"/>
    <w:pPr>
      <w:tabs>
        <w:tab w:val="right" w:pos="9965"/>
      </w:tabs>
      <w:spacing w:line="210" w:lineRule="exact"/>
    </w:pPr>
    <w:rPr>
      <w:spacing w:val="5"/>
      <w:w w:val="104"/>
      <w:sz w:val="17"/>
    </w:rPr>
  </w:style>
  <w:style w:type="paragraph" w:customStyle="1" w:styleId="SmallX">
    <w:name w:val="SmallX"/>
    <w:basedOn w:val="Small"/>
    <w:next w:val="Normal"/>
    <w:qFormat/>
    <w:rsid w:val="00F90803"/>
    <w:pPr>
      <w:spacing w:line="180" w:lineRule="exact"/>
      <w:jc w:val="right"/>
    </w:pPr>
    <w:rPr>
      <w:spacing w:val="6"/>
      <w:w w:val="106"/>
      <w:sz w:val="14"/>
    </w:rPr>
  </w:style>
  <w:style w:type="character" w:styleId="Strong">
    <w:name w:val="Strong"/>
    <w:uiPriority w:val="22"/>
    <w:rsid w:val="00F90803"/>
    <w:rPr>
      <w:b/>
      <w:bCs/>
    </w:rPr>
  </w:style>
  <w:style w:type="paragraph" w:customStyle="1" w:styleId="Style1">
    <w:name w:val="Style1"/>
    <w:basedOn w:val="Normal"/>
    <w:qFormat/>
    <w:rsid w:val="00F90803"/>
  </w:style>
  <w:style w:type="paragraph" w:customStyle="1" w:styleId="Style2">
    <w:name w:val="Style2"/>
    <w:basedOn w:val="Normal"/>
    <w:autoRedefine/>
    <w:qFormat/>
    <w:rsid w:val="00F90803"/>
  </w:style>
  <w:style w:type="paragraph" w:customStyle="1" w:styleId="TitleHCH">
    <w:name w:val="Title_H_CH"/>
    <w:basedOn w:val="H1"/>
    <w:next w:val="Normal"/>
    <w:qFormat/>
    <w:rsid w:val="00F90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9080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9080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E1DB1"/>
    <w:rPr>
      <w:sz w:val="16"/>
      <w:szCs w:val="16"/>
    </w:rPr>
  </w:style>
  <w:style w:type="paragraph" w:styleId="CommentText">
    <w:name w:val="annotation text"/>
    <w:basedOn w:val="Normal"/>
    <w:link w:val="CommentTextChar"/>
    <w:uiPriority w:val="99"/>
    <w:semiHidden/>
    <w:unhideWhenUsed/>
    <w:rsid w:val="008E1DB1"/>
    <w:pPr>
      <w:spacing w:line="240" w:lineRule="auto"/>
    </w:pPr>
    <w:rPr>
      <w:szCs w:val="20"/>
    </w:rPr>
  </w:style>
  <w:style w:type="character" w:customStyle="1" w:styleId="CommentTextChar">
    <w:name w:val="Comment Text Char"/>
    <w:basedOn w:val="DefaultParagraphFont"/>
    <w:link w:val="CommentText"/>
    <w:uiPriority w:val="99"/>
    <w:semiHidden/>
    <w:rsid w:val="008E1DB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E1DB1"/>
    <w:rPr>
      <w:b/>
      <w:bCs/>
    </w:rPr>
  </w:style>
  <w:style w:type="character" w:customStyle="1" w:styleId="CommentSubjectChar">
    <w:name w:val="Comment Subject Char"/>
    <w:basedOn w:val="CommentTextChar"/>
    <w:link w:val="CommentSubject"/>
    <w:uiPriority w:val="99"/>
    <w:semiHidden/>
    <w:rsid w:val="008E1DB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933C3"/>
    <w:rPr>
      <w:color w:val="0000FF"/>
      <w:u w:val="none"/>
    </w:rPr>
  </w:style>
  <w:style w:type="character" w:styleId="FollowedHyperlink">
    <w:name w:val="FollowedHyperlink"/>
    <w:basedOn w:val="DefaultParagraphFont"/>
    <w:uiPriority w:val="99"/>
    <w:semiHidden/>
    <w:unhideWhenUsed/>
    <w:rsid w:val="004933C3"/>
    <w:rPr>
      <w:color w:val="0000FF"/>
      <w:u w:val="none"/>
    </w:rPr>
  </w:style>
  <w:style w:type="character" w:styleId="UnresolvedMention">
    <w:name w:val="Unresolved Mention"/>
    <w:basedOn w:val="DefaultParagraphFont"/>
    <w:uiPriority w:val="99"/>
    <w:semiHidden/>
    <w:unhideWhenUsed/>
    <w:rsid w:val="004933C3"/>
    <w:rPr>
      <w:color w:val="808080"/>
      <w:shd w:val="clear" w:color="auto" w:fill="E6E6E6"/>
    </w:rPr>
  </w:style>
  <w:style w:type="paragraph" w:styleId="Revision">
    <w:name w:val="Revision"/>
    <w:hidden/>
    <w:uiPriority w:val="99"/>
    <w:semiHidden/>
    <w:rsid w:val="0038174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ST/AI/4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03/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0/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0769-ECD3-4765-9075-033F1FDD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Diana Guiu</cp:lastModifiedBy>
  <cp:revision>4</cp:revision>
  <cp:lastPrinted>2019-04-25T01:39:00Z</cp:lastPrinted>
  <dcterms:created xsi:type="dcterms:W3CDTF">2019-04-25T01:39:00Z</dcterms:created>
  <dcterms:modified xsi:type="dcterms:W3CDTF">2019-04-26T13:07:00Z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1906581F</vt:lpwstr>
  </property>
  <property fmtid="{D5CDD505-2E9C-101B-9397-08002B2CF9AE}" pid="3" name="ODSRefJobNo">
    <vt:lpwstr>1911478F</vt:lpwstr>
  </property>
  <property fmtid="{D5CDD505-2E9C-101B-9397-08002B2CF9AE}" pid="4" name="Symbol1">
    <vt:lpwstr>ST/SGB/2019/3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
  </property>
  <property fmtid="{D5CDD505-2E9C-101B-9397-08002B2CF9AE}" pid="10" name="Publication Date">
    <vt:lpwstr>18 avril 2019</vt:lpwstr>
  </property>
  <property fmtid="{D5CDD505-2E9C-101B-9397-08002B2CF9AE}" pid="11" name="Original">
    <vt:lpwstr/>
  </property>
  <property fmtid="{D5CDD505-2E9C-101B-9397-08002B2CF9AE}" pid="12" name="Release Date">
    <vt:lpwstr>240419</vt:lpwstr>
  </property>
  <property fmtid="{D5CDD505-2E9C-101B-9397-08002B2CF9AE}" pid="13" name="Comment">
    <vt:lpwstr/>
  </property>
  <property fmtid="{D5CDD505-2E9C-101B-9397-08002B2CF9AE}" pid="14" name="DraftPages">
    <vt:lpwstr> </vt:lpwstr>
  </property>
  <property fmtid="{D5CDD505-2E9C-101B-9397-08002B2CF9AE}" pid="15" name="Operator">
    <vt:lpwstr>MKC</vt:lpwstr>
  </property>
</Properties>
</file>