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90C1" w14:textId="77777777" w:rsidR="00287D4A" w:rsidRPr="00204DB4" w:rsidRDefault="00287D4A" w:rsidP="00287D4A">
      <w:pPr>
        <w:spacing w:line="240" w:lineRule="auto"/>
        <w:rPr>
          <w:sz w:val="2"/>
        </w:rPr>
        <w:sectPr w:rsidR="00287D4A" w:rsidRPr="00204DB4" w:rsidSect="008068C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7B67C720" w14:textId="3497095F" w:rsidR="008068CD" w:rsidRPr="00204DB4" w:rsidRDefault="008068CD" w:rsidP="008068CD">
      <w:pPr>
        <w:pStyle w:val="TitleHCH"/>
        <w:ind w:right="1260"/>
      </w:pPr>
      <w:r w:rsidRPr="00204DB4">
        <w:tab/>
      </w:r>
      <w:r w:rsidRPr="00204DB4">
        <w:tab/>
        <w:t>Circulaire du Secrétaire général</w:t>
      </w:r>
    </w:p>
    <w:p w14:paraId="574F1554" w14:textId="214F4C71" w:rsidR="008068CD" w:rsidRPr="00204DB4" w:rsidRDefault="008068CD" w:rsidP="008068CD">
      <w:pPr>
        <w:pStyle w:val="SingleTxt"/>
        <w:spacing w:after="0" w:line="120" w:lineRule="exact"/>
        <w:rPr>
          <w:sz w:val="10"/>
        </w:rPr>
      </w:pPr>
    </w:p>
    <w:p w14:paraId="7A34571A" w14:textId="44FE684C" w:rsidR="008068CD" w:rsidRPr="00204DB4" w:rsidRDefault="008068CD" w:rsidP="008068CD">
      <w:pPr>
        <w:pStyle w:val="SingleTxt"/>
        <w:spacing w:after="0" w:line="120" w:lineRule="exact"/>
        <w:rPr>
          <w:sz w:val="10"/>
        </w:rPr>
      </w:pPr>
    </w:p>
    <w:p w14:paraId="55769762" w14:textId="2A483B6E" w:rsidR="008068CD" w:rsidRPr="00204DB4" w:rsidRDefault="008068CD" w:rsidP="008068CD">
      <w:pPr>
        <w:pStyle w:val="TitleH1"/>
        <w:ind w:right="1260"/>
      </w:pPr>
      <w:r w:rsidRPr="00204DB4">
        <w:tab/>
      </w:r>
      <w:r w:rsidRPr="00204DB4">
        <w:tab/>
        <w:t>Procédures applicables en cas d’évacuation du complexe de l’Organisation des Nations Unies à New York</w:t>
      </w:r>
    </w:p>
    <w:p w14:paraId="419A7394" w14:textId="1474FA8F" w:rsidR="008068CD" w:rsidRPr="00204DB4" w:rsidRDefault="008068CD" w:rsidP="008068CD">
      <w:pPr>
        <w:pStyle w:val="SingleTxt"/>
        <w:spacing w:after="0" w:line="120" w:lineRule="exact"/>
        <w:rPr>
          <w:sz w:val="10"/>
        </w:rPr>
      </w:pPr>
    </w:p>
    <w:p w14:paraId="66BCFAEA" w14:textId="7AF2E155" w:rsidR="008068CD" w:rsidRPr="00204DB4" w:rsidRDefault="008068CD" w:rsidP="008068CD">
      <w:pPr>
        <w:pStyle w:val="SingleTxt"/>
        <w:spacing w:after="0" w:line="120" w:lineRule="exact"/>
        <w:rPr>
          <w:sz w:val="10"/>
        </w:rPr>
      </w:pPr>
    </w:p>
    <w:p w14:paraId="7D136482" w14:textId="78F115F3" w:rsidR="008068CD" w:rsidRPr="00204DB4" w:rsidRDefault="008068CD" w:rsidP="008F49C2">
      <w:pPr>
        <w:pStyle w:val="SingleTxt"/>
      </w:pPr>
      <w:r w:rsidRPr="00204DB4">
        <w:tab/>
      </w:r>
      <w:bookmarkStart w:id="1" w:name="_Hlk527358073"/>
      <w:r w:rsidR="008F49C2" w:rsidRPr="00204DB4">
        <w:t>Le Secrétaire général, aux fins d’actualiser les procédures applicables en cas d’évacuation du complexe de l’Organisation des Nations Unies, promulgue ce qui suit :</w:t>
      </w:r>
      <w:bookmarkEnd w:id="1"/>
    </w:p>
    <w:p w14:paraId="145BE974" w14:textId="77777777" w:rsidR="008068CD" w:rsidRPr="00204DB4" w:rsidRDefault="008068CD" w:rsidP="008068CD">
      <w:pPr>
        <w:pStyle w:val="SingleTxt"/>
        <w:spacing w:after="0" w:line="120" w:lineRule="exact"/>
        <w:rPr>
          <w:b/>
          <w:bCs/>
          <w:sz w:val="10"/>
        </w:rPr>
      </w:pPr>
    </w:p>
    <w:p w14:paraId="143B4ABA" w14:textId="538E13F9" w:rsidR="00204DB4" w:rsidRDefault="008068CD"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DB4">
        <w:tab/>
      </w:r>
      <w:r w:rsidRPr="00204DB4">
        <w:tab/>
        <w:t>Section 1</w:t>
      </w:r>
    </w:p>
    <w:p w14:paraId="6753B6A3" w14:textId="5C68838E" w:rsidR="008068CD" w:rsidRPr="00204DB4" w:rsidRDefault="00204DB4"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068CD" w:rsidRPr="00204DB4">
        <w:t>Introduction</w:t>
      </w:r>
    </w:p>
    <w:p w14:paraId="1192788A" w14:textId="4C67E2EB" w:rsidR="008068CD" w:rsidRPr="00204DB4" w:rsidRDefault="008068CD" w:rsidP="008068CD">
      <w:pPr>
        <w:pStyle w:val="SingleTxt"/>
        <w:spacing w:after="0" w:line="120" w:lineRule="exact"/>
        <w:rPr>
          <w:sz w:val="10"/>
        </w:rPr>
      </w:pPr>
    </w:p>
    <w:p w14:paraId="3B26FA22" w14:textId="0CA11499" w:rsidR="008068CD" w:rsidRPr="00204DB4" w:rsidRDefault="008F49C2" w:rsidP="008068CD">
      <w:pPr>
        <w:pStyle w:val="SingleTxt"/>
        <w:numPr>
          <w:ilvl w:val="0"/>
          <w:numId w:val="22"/>
        </w:numPr>
      </w:pPr>
      <w:r w:rsidRPr="00204DB4">
        <w:t>Les procédures décrites ci-après doivent être observées en cas d’évacuation du complexe de l’ONU à New York, sis à l’est de la 1</w:t>
      </w:r>
      <w:r w:rsidRPr="00617E7A">
        <w:rPr>
          <w:vertAlign w:val="superscript"/>
        </w:rPr>
        <w:t>re</w:t>
      </w:r>
      <w:r w:rsidRPr="00204DB4">
        <w:t xml:space="preserve"> Avenue, entre la 42</w:t>
      </w:r>
      <w:r w:rsidRPr="00617E7A">
        <w:rPr>
          <w:vertAlign w:val="superscript"/>
        </w:rPr>
        <w:t>e</w:t>
      </w:r>
      <w:r w:rsidRPr="00204DB4">
        <w:t xml:space="preserve"> Rue et la 48</w:t>
      </w:r>
      <w:r w:rsidRPr="00617E7A">
        <w:rPr>
          <w:vertAlign w:val="superscript"/>
        </w:rPr>
        <w:t>e</w:t>
      </w:r>
      <w:r w:rsidR="00204DB4">
        <w:t> </w:t>
      </w:r>
      <w:r w:rsidRPr="00204DB4">
        <w:t>Rue. Elles visent avant tout à assurer la sécurité des occupants du complexe, avant, pendant et après leur évacuation.</w:t>
      </w:r>
    </w:p>
    <w:p w14:paraId="6156C670" w14:textId="0CA18747" w:rsidR="008068CD" w:rsidRPr="00204DB4" w:rsidRDefault="008F49C2" w:rsidP="008068CD">
      <w:pPr>
        <w:pStyle w:val="SingleTxt"/>
        <w:numPr>
          <w:ilvl w:val="0"/>
          <w:numId w:val="22"/>
        </w:numPr>
      </w:pPr>
      <w:r w:rsidRPr="00204DB4">
        <w:t>Les agents de sécurité et les responsables de la gestion des bâtiments du complexe de l’ONU recevront des instructions détaillées et précises visant à faciliter l’évacuation de tous les occupants du complexe. Les présentes procédures s’appliquent à quiconque se trouverait dans le complexe au moment de l’évacuation. Il incombe aux fonctionnaires d’expliquer aux visiteurs la procédure à suivre et de les guider, le cas échéant.</w:t>
      </w:r>
    </w:p>
    <w:p w14:paraId="59079997" w14:textId="1F36AA74" w:rsidR="008068CD" w:rsidRPr="00204DB4" w:rsidRDefault="008F49C2" w:rsidP="008068CD">
      <w:pPr>
        <w:pStyle w:val="SingleTxt"/>
        <w:numPr>
          <w:ilvl w:val="0"/>
          <w:numId w:val="22"/>
        </w:numPr>
      </w:pPr>
      <w:r w:rsidRPr="00204DB4">
        <w:t>Les procédures d’évacuation des autres locaux de l’ONU à New York relèvent de la responsabilité des services de gestion des bâtiments concernés. Les fonctionnaires doivent suivre les instructions données par les responsables désignés de la sécurité incendie des services de gestion de ces bâtiments.</w:t>
      </w:r>
    </w:p>
    <w:p w14:paraId="3C5EBDFB" w14:textId="77777777" w:rsidR="008068CD" w:rsidRPr="00204DB4" w:rsidRDefault="008068CD" w:rsidP="008068CD">
      <w:pPr>
        <w:pStyle w:val="SingleTxt"/>
        <w:spacing w:after="0" w:line="120" w:lineRule="exact"/>
        <w:rPr>
          <w:b/>
          <w:bCs/>
          <w:sz w:val="10"/>
        </w:rPr>
      </w:pPr>
    </w:p>
    <w:p w14:paraId="7F7BEDBC" w14:textId="77777777" w:rsidR="00204DB4" w:rsidRDefault="008068CD"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DB4">
        <w:tab/>
      </w:r>
      <w:r w:rsidRPr="00204DB4">
        <w:tab/>
        <w:t>Section 2</w:t>
      </w:r>
    </w:p>
    <w:p w14:paraId="6979BEA3" w14:textId="1A9FDC98" w:rsidR="008068CD" w:rsidRPr="00204DB4" w:rsidRDefault="00204DB4"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068CD" w:rsidRPr="00204DB4">
        <w:t xml:space="preserve">Définitions </w:t>
      </w:r>
    </w:p>
    <w:p w14:paraId="6A5F9F9F" w14:textId="77777777" w:rsidR="008068CD" w:rsidRPr="00204DB4" w:rsidRDefault="008068CD" w:rsidP="008068CD">
      <w:pPr>
        <w:pStyle w:val="SingleTxt"/>
        <w:spacing w:after="0" w:line="120" w:lineRule="exact"/>
        <w:rPr>
          <w:sz w:val="10"/>
        </w:rPr>
      </w:pPr>
    </w:p>
    <w:p w14:paraId="7E936EC5" w14:textId="59C0F1E8" w:rsidR="008068CD" w:rsidRPr="00204DB4" w:rsidRDefault="008F49C2" w:rsidP="008F49C2">
      <w:pPr>
        <w:pStyle w:val="SingleTxt"/>
        <w:numPr>
          <w:ilvl w:val="0"/>
          <w:numId w:val="24"/>
        </w:numPr>
      </w:pPr>
      <w:r w:rsidRPr="00204DB4">
        <w:t>Il importe que tous les occupants du complexe de l’ONU comprennent le sens des expressions ci-après, qui peuvent être utilisées dans le cadre des procédures d’évacuation :</w:t>
      </w:r>
    </w:p>
    <w:p w14:paraId="790D698F" w14:textId="706852DB" w:rsidR="008068CD" w:rsidRPr="00204DB4" w:rsidRDefault="008068CD" w:rsidP="008068CD">
      <w:pPr>
        <w:pStyle w:val="SingleTxt"/>
        <w:rPr>
          <w:bCs/>
        </w:rPr>
      </w:pPr>
      <w:r w:rsidRPr="00204DB4">
        <w:tab/>
        <w:t>a)</w:t>
      </w:r>
      <w:r w:rsidRPr="00204DB4">
        <w:tab/>
      </w:r>
      <w:r w:rsidR="008F49C2" w:rsidRPr="00204DB4">
        <w:t>Évacuation : transfert de tous les membres du personnel et autres personnes visées par les présentes procédures de leur lieu de travail à un endroit plus sûr, soit à l’intérieur, soit à l’extérieur du complexe </w:t>
      </w:r>
      <w:r w:rsidRPr="00204DB4">
        <w:t>;</w:t>
      </w:r>
    </w:p>
    <w:p w14:paraId="129785AB" w14:textId="3A174AEF" w:rsidR="008068CD" w:rsidRPr="00204DB4" w:rsidRDefault="008068CD" w:rsidP="008068CD">
      <w:pPr>
        <w:pStyle w:val="SingleTxt"/>
        <w:rPr>
          <w:bCs/>
        </w:rPr>
      </w:pPr>
      <w:r w:rsidRPr="00204DB4">
        <w:tab/>
        <w:t>b)</w:t>
      </w:r>
      <w:r w:rsidRPr="00204DB4">
        <w:tab/>
      </w:r>
      <w:r w:rsidR="008F49C2" w:rsidRPr="00204DB4">
        <w:t>Évacués : toutes les personnes présentes dans le complexe lorsqu’un ordre d’évacuation est donné, à l’exception du personnel de sécurité et des responsables de la gestion des bâtiments chargés de superviser les procédures d’évacuation ;</w:t>
      </w:r>
    </w:p>
    <w:p w14:paraId="59EFA831" w14:textId="2CCB6EF5" w:rsidR="008068CD" w:rsidRPr="00204DB4" w:rsidRDefault="008068CD" w:rsidP="008068CD">
      <w:pPr>
        <w:pStyle w:val="SingleTxt"/>
        <w:rPr>
          <w:bCs/>
        </w:rPr>
      </w:pPr>
      <w:r w:rsidRPr="00204DB4">
        <w:lastRenderedPageBreak/>
        <w:tab/>
        <w:t>c)</w:t>
      </w:r>
      <w:r w:rsidRPr="00204DB4">
        <w:tab/>
      </w:r>
      <w:r w:rsidR="008F49C2" w:rsidRPr="00204DB4">
        <w:t>Complexe de l’ONU : les locaux de l’ONU sis à l’est de la 1</w:t>
      </w:r>
      <w:r w:rsidR="008F49C2" w:rsidRPr="00204DB4">
        <w:rPr>
          <w:vertAlign w:val="superscript"/>
        </w:rPr>
        <w:t>re</w:t>
      </w:r>
      <w:r w:rsidR="008F49C2" w:rsidRPr="00204DB4">
        <w:t xml:space="preserve"> Avenue entre la 42</w:t>
      </w:r>
      <w:r w:rsidR="008F49C2" w:rsidRPr="00204DB4">
        <w:rPr>
          <w:vertAlign w:val="superscript"/>
        </w:rPr>
        <w:t>e</w:t>
      </w:r>
      <w:r w:rsidR="008F49C2" w:rsidRPr="00204DB4">
        <w:t xml:space="preserve"> et la 48</w:t>
      </w:r>
      <w:r w:rsidR="008F49C2" w:rsidRPr="00204DB4">
        <w:rPr>
          <w:vertAlign w:val="superscript"/>
        </w:rPr>
        <w:t>e</w:t>
      </w:r>
      <w:r w:rsidR="008F49C2" w:rsidRPr="00204DB4">
        <w:t xml:space="preserve"> Rue ;</w:t>
      </w:r>
    </w:p>
    <w:p w14:paraId="5A144D0C" w14:textId="10C17A6A" w:rsidR="008068CD" w:rsidRPr="00204DB4" w:rsidRDefault="008068CD" w:rsidP="008068CD">
      <w:pPr>
        <w:pStyle w:val="SingleTxt"/>
        <w:rPr>
          <w:bCs/>
        </w:rPr>
      </w:pPr>
      <w:r w:rsidRPr="00204DB4">
        <w:tab/>
        <w:t>d)</w:t>
      </w:r>
      <w:r w:rsidRPr="00204DB4">
        <w:tab/>
      </w:r>
      <w:bookmarkStart w:id="2" w:name="_Hlk517183337"/>
      <w:bookmarkEnd w:id="2"/>
      <w:r w:rsidR="00204DB4" w:rsidRPr="00204DB4">
        <w:t>Occupants : toutes les personnes présentes dans le complexe de l’ONU au moment d’une évacuation, y compris les membres du personnel de l’Organisation, les prestataires de services, les délégués et les visiteurs ;</w:t>
      </w:r>
    </w:p>
    <w:p w14:paraId="57DC98C1" w14:textId="4D4521E6" w:rsidR="008068CD" w:rsidRPr="00204DB4" w:rsidRDefault="008068CD" w:rsidP="00204DB4">
      <w:pPr>
        <w:pStyle w:val="SingleTxt"/>
        <w:rPr>
          <w:bCs/>
        </w:rPr>
      </w:pPr>
      <w:r w:rsidRPr="00204DB4">
        <w:tab/>
        <w:t>e)</w:t>
      </w:r>
      <w:r w:rsidRPr="00204DB4">
        <w:tab/>
      </w:r>
      <w:r w:rsidR="00204DB4" w:rsidRPr="00204DB4">
        <w:t>Menace : toute information digne de foi reçue par le Service de la sûreté et de la sécurité du Département de la sûreté et de la sécurité portant à croire qu’une menace potentielle pèse sur le personnel, les locaux ou les activités de l’ONU ;</w:t>
      </w:r>
    </w:p>
    <w:p w14:paraId="44DD0452" w14:textId="28BBEF50" w:rsidR="008068CD" w:rsidRPr="00204DB4" w:rsidRDefault="008068CD" w:rsidP="008068CD">
      <w:pPr>
        <w:pStyle w:val="SingleTxt"/>
        <w:rPr>
          <w:bCs/>
        </w:rPr>
      </w:pPr>
      <w:r w:rsidRPr="00204DB4">
        <w:tab/>
        <w:t>f)</w:t>
      </w:r>
      <w:r w:rsidRPr="00204DB4">
        <w:tab/>
      </w:r>
      <w:r w:rsidR="00204DB4" w:rsidRPr="00204DB4">
        <w:t>Personnes handicapées : toutes les personnes ayant besoin d’assistance pour évacuer le complexe</w:t>
      </w:r>
      <w:r w:rsidRPr="00204DB4">
        <w:t>.</w:t>
      </w:r>
    </w:p>
    <w:p w14:paraId="0A1B40BD" w14:textId="77777777" w:rsidR="008068CD" w:rsidRPr="00204DB4" w:rsidRDefault="008068CD" w:rsidP="008068CD">
      <w:pPr>
        <w:pStyle w:val="SingleTxt"/>
        <w:spacing w:after="0" w:line="120" w:lineRule="exact"/>
        <w:rPr>
          <w:b/>
          <w:bCs/>
          <w:sz w:val="10"/>
        </w:rPr>
      </w:pPr>
    </w:p>
    <w:p w14:paraId="4002D5CA" w14:textId="77777777" w:rsidR="00204DB4" w:rsidRDefault="008068CD"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DB4">
        <w:tab/>
      </w:r>
      <w:r w:rsidRPr="00204DB4">
        <w:tab/>
        <w:t>Section 3</w:t>
      </w:r>
    </w:p>
    <w:p w14:paraId="69423E28" w14:textId="01DE70BD" w:rsidR="008068CD" w:rsidRPr="00204DB4" w:rsidRDefault="00204DB4"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068CD" w:rsidRPr="00204DB4">
        <w:t>Procédures d’évacuation</w:t>
      </w:r>
    </w:p>
    <w:p w14:paraId="6B7E4B6B" w14:textId="77777777" w:rsidR="008068CD" w:rsidRPr="00204DB4" w:rsidRDefault="008068CD" w:rsidP="008068CD">
      <w:pPr>
        <w:pStyle w:val="SingleTxt"/>
        <w:spacing w:after="0" w:line="120" w:lineRule="exact"/>
        <w:rPr>
          <w:sz w:val="10"/>
        </w:rPr>
      </w:pPr>
    </w:p>
    <w:p w14:paraId="1031F874" w14:textId="6F48C0D3" w:rsidR="00204DB4" w:rsidRPr="00204DB4" w:rsidRDefault="00204DB4" w:rsidP="00204DB4">
      <w:pPr>
        <w:pStyle w:val="SingleTxt"/>
        <w:numPr>
          <w:ilvl w:val="0"/>
          <w:numId w:val="25"/>
        </w:numPr>
      </w:pPr>
      <w:r w:rsidRPr="00204DB4">
        <w:t>Lorsqu’un ordre d’évacuation est donné, un signal sonore retentit dans tout le complexe, suivi d’une annonce publique des agents de sécurité.</w:t>
      </w:r>
    </w:p>
    <w:p w14:paraId="68153ED9" w14:textId="4D97BB01" w:rsidR="00204DB4" w:rsidRPr="00204DB4" w:rsidRDefault="00204DB4" w:rsidP="00204DB4">
      <w:pPr>
        <w:pStyle w:val="SingleTxt"/>
        <w:numPr>
          <w:ilvl w:val="0"/>
          <w:numId w:val="25"/>
        </w:numPr>
      </w:pPr>
      <w:r w:rsidRPr="00204DB4">
        <w:t>Lorsque l’ordre d’évacuation est annoncé par hauts-parleurs, tous les évacués doivent immédiatement se diriger vers l’issue, la cage d’escalier ou – pour autant que les agents de sécurité les y autorisent – l’ascenseur le plus proche (voir pa</w:t>
      </w:r>
      <w:r w:rsidR="00DC0837">
        <w:t>r</w:t>
      </w:r>
      <w:r w:rsidR="005E1CE6">
        <w:t>. </w:t>
      </w:r>
      <w:r w:rsidRPr="00204DB4">
        <w:t>3.6). L’annonce précise si les ascenseurs peuvent ou non être utilisés et si les évacués doivent se rendre dans un autre secteur du complexe ou sortir de l’enceinte du complexe. Le cas échéant, elle indique également quels secteurs présentent un danger et doivent donc être évités. Des instructions sont fournies au sujet des points de rassemblement, de manière à ce que tous les évacués se dirigent vers les emplacements prévus.</w:t>
      </w:r>
    </w:p>
    <w:p w14:paraId="1218FA54" w14:textId="3EEC7E2F" w:rsidR="00204DB4" w:rsidRPr="00204DB4" w:rsidRDefault="00204DB4" w:rsidP="00204DB4">
      <w:pPr>
        <w:pStyle w:val="SingleTxt"/>
        <w:numPr>
          <w:ilvl w:val="0"/>
          <w:numId w:val="25"/>
        </w:numPr>
      </w:pPr>
      <w:r w:rsidRPr="00204DB4">
        <w:t xml:space="preserve">Même si le message n’est pas pleinement intelligible, les évacués doivent se diriger immédiatement vers la cage d’escalier, l’escalier roulant, la porte ou – pour autant que les agents de sécurité les y autorisent – l’ascenseur le plus proche. Les évacués peuvent demander des éclaircissements aux agents de sécurité postés à des points stratégiques le long des parcours d’évacuation. </w:t>
      </w:r>
    </w:p>
    <w:p w14:paraId="634826C7" w14:textId="3832E14E" w:rsidR="00204DB4" w:rsidRPr="00204DB4" w:rsidRDefault="00204DB4" w:rsidP="00204DB4">
      <w:pPr>
        <w:pStyle w:val="SingleTxt"/>
        <w:numPr>
          <w:ilvl w:val="0"/>
          <w:numId w:val="25"/>
        </w:numPr>
      </w:pPr>
      <w:r w:rsidRPr="00204DB4">
        <w:t>À bien des égards, le processus d’évacuation est plus aisé dans les secteurs du complexe autres que le bâtiment du Secrétariat, car il n’intéresse que le rez-de-chaussée ou des étages peu élevés. Tous les évacués, y compris les personnes handicapées et les collègues qui se sont portés volontaires pour les assister, doivent quitter leur lieu de travail en empruntant la cage d’escalier et la sortie les plus proches, en suivant les instructions du Service de la sûreté et de la sécurité.</w:t>
      </w:r>
    </w:p>
    <w:p w14:paraId="62049E52" w14:textId="667F9E22" w:rsidR="00204DB4" w:rsidRPr="00204DB4" w:rsidRDefault="00204DB4" w:rsidP="00204DB4">
      <w:pPr>
        <w:pStyle w:val="SingleTxt"/>
        <w:numPr>
          <w:ilvl w:val="0"/>
          <w:numId w:val="25"/>
        </w:numPr>
      </w:pPr>
      <w:r w:rsidRPr="00204DB4">
        <w:t xml:space="preserve">Même si l’évacuation n’est pas due à un incendie, l’ordre d’évacuer peut être donné au moyen de l’alarme incendie ou d’autres dispositifs (système de notification du personnel, système d’alerte en cas d’urgence, système de diffusion, etc.). Tous les occupants sont informés de la procédure à suivre par les agents de sécurité. Tous les évacués sont tenus de suivre les instructions qui leur sont données. </w:t>
      </w:r>
    </w:p>
    <w:p w14:paraId="663A9D8F" w14:textId="494777B6" w:rsidR="00204DB4" w:rsidRPr="00204DB4" w:rsidRDefault="00204DB4" w:rsidP="00204DB4">
      <w:pPr>
        <w:pStyle w:val="SingleTxt"/>
        <w:numPr>
          <w:ilvl w:val="0"/>
          <w:numId w:val="25"/>
        </w:numPr>
      </w:pPr>
      <w:r w:rsidRPr="00204DB4">
        <w:t xml:space="preserve">En cas d’incendie, les ascenseurs ne doivent pas être utilisés. En règle générale, il est préférable d’emprunter les escaliers dans toutes les situations d’urgence, mais si l’évacuation n’est pas due à un incendie, les évacués peuvent utiliser les ascenseurs, pour autant que les agents de sécurité les y autorisent. </w:t>
      </w:r>
    </w:p>
    <w:p w14:paraId="71BB54C2" w14:textId="50EE05FB" w:rsidR="00204DB4" w:rsidRPr="00204DB4" w:rsidRDefault="00204DB4" w:rsidP="00204DB4">
      <w:pPr>
        <w:pStyle w:val="SingleTxt"/>
        <w:numPr>
          <w:ilvl w:val="0"/>
          <w:numId w:val="25"/>
        </w:numPr>
      </w:pPr>
      <w:r w:rsidRPr="00204DB4">
        <w:t>L’annonce publique et les agents de sécurité postés le long des parcours d’évacuation indiquent aux évacués où se rendre après avoir quitté leur lieu de travail, en fonction du type de menace. Les évacués doivent suivre les instructions données. Il peut notamment leur être ordonné de</w:t>
      </w:r>
      <w:r>
        <w:t> </w:t>
      </w:r>
      <w:r w:rsidRPr="00204DB4">
        <w:t>:</w:t>
      </w:r>
    </w:p>
    <w:p w14:paraId="3AAF8033" w14:textId="56685F40" w:rsidR="00204DB4" w:rsidRPr="00204DB4" w:rsidRDefault="00204DB4" w:rsidP="00204DB4">
      <w:pPr>
        <w:pStyle w:val="SingleTxt"/>
      </w:pPr>
      <w:r w:rsidRPr="00204DB4">
        <w:tab/>
        <w:t>a)</w:t>
      </w:r>
      <w:r w:rsidRPr="00204DB4">
        <w:tab/>
        <w:t>Ne pas bouger (trouver un abri là où ils sont)</w:t>
      </w:r>
      <w:r>
        <w:t> </w:t>
      </w:r>
      <w:r w:rsidRPr="00204DB4">
        <w:t xml:space="preserve">; </w:t>
      </w:r>
    </w:p>
    <w:p w14:paraId="79D609C1" w14:textId="7D1AF7C2" w:rsidR="00204DB4" w:rsidRPr="00204DB4" w:rsidRDefault="00204DB4" w:rsidP="00204DB4">
      <w:pPr>
        <w:pStyle w:val="SingleTxt"/>
      </w:pPr>
      <w:r w:rsidRPr="00204DB4">
        <w:lastRenderedPageBreak/>
        <w:tab/>
        <w:t>b)</w:t>
      </w:r>
      <w:r w:rsidRPr="00204DB4">
        <w:tab/>
        <w:t>Se diriger vers une zone sûre à l’intérieur du complexe (évacuation partielle)</w:t>
      </w:r>
      <w:r>
        <w:t> </w:t>
      </w:r>
      <w:r w:rsidRPr="00204DB4">
        <w:t>;</w:t>
      </w:r>
    </w:p>
    <w:p w14:paraId="23411A2A" w14:textId="0E9FC1B2" w:rsidR="00204DB4" w:rsidRPr="00204DB4" w:rsidRDefault="00204DB4" w:rsidP="00204DB4">
      <w:pPr>
        <w:pStyle w:val="SingleTxt"/>
      </w:pPr>
      <w:r w:rsidRPr="00204DB4">
        <w:tab/>
        <w:t>c)</w:t>
      </w:r>
      <w:r w:rsidRPr="00204DB4">
        <w:tab/>
        <w:t>Se diriger vers un point de rassemblement public (évacuation totale)</w:t>
      </w:r>
      <w:r>
        <w:t> </w:t>
      </w:r>
      <w:r w:rsidRPr="00204DB4">
        <w:t xml:space="preserve">; </w:t>
      </w:r>
    </w:p>
    <w:p w14:paraId="13958A36" w14:textId="547ACC7F" w:rsidR="00204DB4" w:rsidRPr="00204DB4" w:rsidRDefault="00204DB4" w:rsidP="00204DB4">
      <w:pPr>
        <w:pStyle w:val="SingleTxt"/>
      </w:pPr>
      <w:r w:rsidRPr="00204DB4">
        <w:tab/>
        <w:t>d)</w:t>
      </w:r>
      <w:r w:rsidRPr="00204DB4">
        <w:tab/>
        <w:t>Se disperser et s’éloigner, rentrer chez eux ou se diriger vers un autre lieu sûr (déplacement).</w:t>
      </w:r>
    </w:p>
    <w:p w14:paraId="6AE401FF" w14:textId="21D672A7" w:rsidR="00204DB4" w:rsidRPr="00204DB4" w:rsidRDefault="00204DB4" w:rsidP="00204DB4">
      <w:pPr>
        <w:pStyle w:val="SingleTxt"/>
        <w:numPr>
          <w:ilvl w:val="0"/>
          <w:numId w:val="25"/>
        </w:numPr>
      </w:pPr>
      <w:r w:rsidRPr="00204DB4">
        <w:t>En cas d’évacuation vers un point de rassemblement public, les évacués doivent se diriger vers les points suivants</w:t>
      </w:r>
      <w:r>
        <w:t> </w:t>
      </w:r>
      <w:r w:rsidRPr="00204DB4">
        <w:t xml:space="preserve">: </w:t>
      </w:r>
    </w:p>
    <w:p w14:paraId="482D7F4F" w14:textId="3AF931DB" w:rsidR="00204DB4" w:rsidRPr="00204DB4" w:rsidRDefault="00204DB4" w:rsidP="00204DB4">
      <w:pPr>
        <w:pStyle w:val="SingleTxt"/>
      </w:pPr>
      <w:r w:rsidRPr="00204DB4">
        <w:tab/>
        <w:t>a)</w:t>
      </w:r>
      <w:r w:rsidRPr="00204DB4">
        <w:tab/>
        <w:t>Ceux qui sortent par le nord du complexe se rassemblent sur la Dag Hammarskjöld Plaza, sur le trottoir de la 47</w:t>
      </w:r>
      <w:r w:rsidRPr="00617E7A">
        <w:rPr>
          <w:vertAlign w:val="superscript"/>
        </w:rPr>
        <w:t>e</w:t>
      </w:r>
      <w:r w:rsidRPr="00204DB4">
        <w:t xml:space="preserve"> Rue entre la 1</w:t>
      </w:r>
      <w:r w:rsidRPr="00617E7A">
        <w:rPr>
          <w:vertAlign w:val="superscript"/>
        </w:rPr>
        <w:t>re</w:t>
      </w:r>
      <w:r w:rsidRPr="00204DB4">
        <w:t xml:space="preserve"> et la 2</w:t>
      </w:r>
      <w:r w:rsidRPr="00617E7A">
        <w:rPr>
          <w:vertAlign w:val="superscript"/>
        </w:rPr>
        <w:t>e</w:t>
      </w:r>
      <w:r w:rsidRPr="00204DB4">
        <w:t xml:space="preserve"> Avenue</w:t>
      </w:r>
      <w:r>
        <w:t> </w:t>
      </w:r>
      <w:r w:rsidRPr="00204DB4">
        <w:t xml:space="preserve">; </w:t>
      </w:r>
    </w:p>
    <w:p w14:paraId="1479D44A" w14:textId="7B7B55B4" w:rsidR="00204DB4" w:rsidRPr="00204DB4" w:rsidRDefault="00204DB4" w:rsidP="00204DB4">
      <w:pPr>
        <w:pStyle w:val="SingleTxt"/>
      </w:pPr>
      <w:r w:rsidRPr="00204DB4">
        <w:tab/>
        <w:t>b)</w:t>
      </w:r>
      <w:r w:rsidRPr="00204DB4">
        <w:tab/>
        <w:t>Ceux qui sortent par le sud se rassemblent sur le trottoir de la 1</w:t>
      </w:r>
      <w:r w:rsidRPr="00617E7A">
        <w:rPr>
          <w:vertAlign w:val="superscript"/>
        </w:rPr>
        <w:t>re</w:t>
      </w:r>
      <w:r w:rsidRPr="00204DB4">
        <w:t xml:space="preserve"> Avenue, vers le sud entre la 39</w:t>
      </w:r>
      <w:r w:rsidRPr="00617E7A">
        <w:rPr>
          <w:vertAlign w:val="superscript"/>
        </w:rPr>
        <w:t>e</w:t>
      </w:r>
      <w:r w:rsidRPr="00204DB4">
        <w:t xml:space="preserve"> et la 37</w:t>
      </w:r>
      <w:r w:rsidRPr="00617E7A">
        <w:rPr>
          <w:vertAlign w:val="superscript"/>
        </w:rPr>
        <w:t>e</w:t>
      </w:r>
      <w:r w:rsidRPr="00204DB4">
        <w:t xml:space="preserve"> Rue, et vers l’est sur la 38</w:t>
      </w:r>
      <w:r w:rsidRPr="00617E7A">
        <w:rPr>
          <w:vertAlign w:val="superscript"/>
        </w:rPr>
        <w:t>e</w:t>
      </w:r>
      <w:r w:rsidRPr="00204DB4">
        <w:t xml:space="preserve"> Rue jusqu’au FDR Drive.</w:t>
      </w:r>
    </w:p>
    <w:p w14:paraId="65A0A0A9" w14:textId="574C9F81" w:rsidR="008068CD" w:rsidRPr="00204DB4" w:rsidRDefault="00204DB4" w:rsidP="00DC0837">
      <w:pPr>
        <w:pStyle w:val="SingleTxt"/>
        <w:numPr>
          <w:ilvl w:val="0"/>
          <w:numId w:val="25"/>
        </w:numPr>
        <w:spacing w:line="240" w:lineRule="exact"/>
      </w:pPr>
      <w:r w:rsidRPr="00204DB4">
        <w:t>Il appartient à tous les fonctionnaires de se tenir au courant de la situation, soit en appelant la permanence téléphonique de l’ONU, au 212</w:t>
      </w:r>
      <w:r w:rsidR="005E1CE6">
        <w:t> </w:t>
      </w:r>
      <w:r w:rsidRPr="00204DB4">
        <w:t>963</w:t>
      </w:r>
      <w:r w:rsidR="005E1CE6">
        <w:t xml:space="preserve"> </w:t>
      </w:r>
      <w:r w:rsidRPr="00204DB4">
        <w:t>9800, soit en consultant le site Web des Nations Unies pour l’information du personnel en cas d’urgence à l’adresse suivante</w:t>
      </w:r>
      <w:r>
        <w:t> </w:t>
      </w:r>
      <w:r w:rsidRPr="00204DB4">
        <w:t xml:space="preserve">: </w:t>
      </w:r>
      <w:hyperlink r:id="rId14" w:history="1">
        <w:r w:rsidR="005E1CE6" w:rsidRPr="00781973">
          <w:rPr>
            <w:rStyle w:val="Hyperlink"/>
          </w:rPr>
          <w:t>http://emergency.un.org</w:t>
        </w:r>
      </w:hyperlink>
      <w:r w:rsidRPr="00204DB4">
        <w:t>. Les fonctionnaires sont invités à s’inscrire au système de diffusion d’alertes par SMS, courriel ou appel automatique en passant par ce site Web afin de recevoir des informations en temps réel.</w:t>
      </w:r>
    </w:p>
    <w:p w14:paraId="5E405074" w14:textId="1D244EE5" w:rsidR="008068CD" w:rsidRPr="00204DB4" w:rsidRDefault="008068CD" w:rsidP="008068CD">
      <w:pPr>
        <w:pStyle w:val="SingleTxt"/>
        <w:spacing w:after="0" w:line="120" w:lineRule="exact"/>
        <w:rPr>
          <w:sz w:val="10"/>
        </w:rPr>
      </w:pPr>
    </w:p>
    <w:p w14:paraId="3645AAEE" w14:textId="77777777" w:rsidR="00204DB4" w:rsidRDefault="008068CD"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DB4">
        <w:tab/>
      </w:r>
      <w:r w:rsidRPr="00204DB4">
        <w:tab/>
        <w:t>Section 4</w:t>
      </w:r>
    </w:p>
    <w:p w14:paraId="20EE4649" w14:textId="23CD6B24" w:rsidR="008068CD" w:rsidRPr="00204DB4" w:rsidRDefault="00204DB4"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068CD" w:rsidRPr="00204DB4">
        <w:t>Personnes handicapées</w:t>
      </w:r>
    </w:p>
    <w:p w14:paraId="700B167D" w14:textId="510B3AC3" w:rsidR="008068CD" w:rsidRPr="00204DB4" w:rsidRDefault="008068CD" w:rsidP="008068CD">
      <w:pPr>
        <w:pStyle w:val="SingleTxt"/>
        <w:spacing w:after="0" w:line="120" w:lineRule="exact"/>
        <w:rPr>
          <w:sz w:val="10"/>
        </w:rPr>
      </w:pPr>
    </w:p>
    <w:p w14:paraId="42298C21" w14:textId="77777777" w:rsidR="00204DB4" w:rsidRPr="00204DB4" w:rsidRDefault="00204DB4" w:rsidP="00204DB4">
      <w:pPr>
        <w:pStyle w:val="SingleTxt"/>
        <w:numPr>
          <w:ilvl w:val="0"/>
          <w:numId w:val="26"/>
        </w:numPr>
      </w:pPr>
      <w:r w:rsidRPr="00204DB4">
        <w:t>Le Service de la sûreté et de la sécurité doit prévoir des procédures pour aider les personnes handicapées à évacuer le complexe de l’ONU par les escaliers lorsque l’utilisation des ascenseurs n’est pas autorisée.</w:t>
      </w:r>
    </w:p>
    <w:p w14:paraId="4EF1A61A" w14:textId="2ABA750C" w:rsidR="00204DB4" w:rsidRPr="00204DB4" w:rsidRDefault="00204DB4" w:rsidP="00204DB4">
      <w:pPr>
        <w:pStyle w:val="SingleTxt"/>
        <w:numPr>
          <w:ilvl w:val="0"/>
          <w:numId w:val="26"/>
        </w:numPr>
      </w:pPr>
      <w:r w:rsidRPr="00204DB4">
        <w:t xml:space="preserve">Les noms des fonctionnaires qui, à chaque étage, sont responsables de la lutte anti-incendie, responsables adjoints et vérificateurs sont affichés à côté des boîtiers d’alarme incendie installés dans tout le complexe. </w:t>
      </w:r>
    </w:p>
    <w:p w14:paraId="277E24AA" w14:textId="438B51D3" w:rsidR="00204DB4" w:rsidRPr="00204DB4" w:rsidRDefault="00204DB4" w:rsidP="00204DB4">
      <w:pPr>
        <w:pStyle w:val="SingleTxt"/>
        <w:numPr>
          <w:ilvl w:val="0"/>
          <w:numId w:val="26"/>
        </w:numPr>
      </w:pPr>
      <w:r w:rsidRPr="00204DB4">
        <w:t xml:space="preserve">Lorsqu’un ordre d’évacuation est donné, les vérificateurs inspectent la zone dont ils sont responsables afin de s’assurer que chacun est, soit en train d’évacuer les lieux, soit déjà parti. Ils veillent également à ce que les personnes handicapées reçoivent l’aide dont elles ont besoin. Si une aide supplémentaire est nécessaire, les vérificateurs et les responsables de la lutte anti-incendie prennent les dispositions voulues en se servant du téléphone mis à leur disposition. </w:t>
      </w:r>
    </w:p>
    <w:p w14:paraId="2D5152D8" w14:textId="3402671E" w:rsidR="00204DB4" w:rsidRPr="00204DB4" w:rsidRDefault="00204DB4" w:rsidP="00204DB4">
      <w:pPr>
        <w:pStyle w:val="SingleTxt"/>
        <w:numPr>
          <w:ilvl w:val="0"/>
          <w:numId w:val="26"/>
        </w:numPr>
      </w:pPr>
      <w:r w:rsidRPr="00204DB4">
        <w:t>Une fois que les vérificateurs ont achevé leur inspection et pris les dispositions voulues pour aider les personnes handicapées, ils en informent le responsable de la lutte anti-incendie avant de quitter le secteur.</w:t>
      </w:r>
    </w:p>
    <w:p w14:paraId="23E3EE14" w14:textId="683DF9AA" w:rsidR="00204DB4" w:rsidRPr="00204DB4" w:rsidRDefault="00204DB4" w:rsidP="00204DB4">
      <w:pPr>
        <w:pStyle w:val="SingleTxt"/>
        <w:numPr>
          <w:ilvl w:val="0"/>
          <w:numId w:val="26"/>
        </w:numPr>
      </w:pPr>
      <w:r w:rsidRPr="00204DB4">
        <w:t xml:space="preserve">Dès qu’ils ont reçu les rapports des vérificateurs et se sont assurés que les personnes handicapées reçoivent l’aide dont elles ont besoin pour évacuer le complexe, les responsables de la lutte anti-incendie quittent l’étage. </w:t>
      </w:r>
    </w:p>
    <w:p w14:paraId="126D025C" w14:textId="335BFFB2" w:rsidR="008068CD" w:rsidRPr="00204DB4" w:rsidRDefault="00204DB4" w:rsidP="00204DB4">
      <w:pPr>
        <w:pStyle w:val="SingleTxt"/>
        <w:numPr>
          <w:ilvl w:val="0"/>
          <w:numId w:val="26"/>
        </w:numPr>
      </w:pPr>
      <w:r w:rsidRPr="00204DB4">
        <w:t>En cas de danger imminent, les vérificateurs et les responsables de la lutte anti-incendie doivent immédiatement quitter l’étage.</w:t>
      </w:r>
    </w:p>
    <w:p w14:paraId="7B003CE3" w14:textId="08561234" w:rsidR="008068CD" w:rsidRPr="00204DB4" w:rsidRDefault="008068CD" w:rsidP="008068CD">
      <w:pPr>
        <w:pStyle w:val="SingleTxt"/>
        <w:spacing w:after="0" w:line="120" w:lineRule="exact"/>
        <w:rPr>
          <w:sz w:val="10"/>
        </w:rPr>
      </w:pPr>
    </w:p>
    <w:p w14:paraId="0BB8AD55" w14:textId="77777777" w:rsidR="00204DB4" w:rsidRDefault="008068CD"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DB4">
        <w:tab/>
      </w:r>
      <w:r w:rsidRPr="00204DB4">
        <w:tab/>
        <w:t>Section 5</w:t>
      </w:r>
    </w:p>
    <w:p w14:paraId="7B228CDC" w14:textId="1A941321" w:rsidR="008068CD" w:rsidRPr="00204DB4" w:rsidRDefault="00204DB4"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068CD" w:rsidRPr="00204DB4">
        <w:t>Formation</w:t>
      </w:r>
    </w:p>
    <w:p w14:paraId="7782CE0D" w14:textId="46348C4A" w:rsidR="008068CD" w:rsidRPr="00204DB4" w:rsidRDefault="008068CD" w:rsidP="008068CD">
      <w:pPr>
        <w:pStyle w:val="SingleTxt"/>
        <w:spacing w:after="0" w:line="120" w:lineRule="exact"/>
        <w:rPr>
          <w:sz w:val="10"/>
        </w:rPr>
      </w:pPr>
    </w:p>
    <w:p w14:paraId="7027CBEB" w14:textId="67F6C9F0" w:rsidR="008068CD" w:rsidRPr="00204DB4" w:rsidRDefault="00204DB4" w:rsidP="00204DB4">
      <w:pPr>
        <w:pStyle w:val="SingleTxt"/>
        <w:numPr>
          <w:ilvl w:val="0"/>
          <w:numId w:val="27"/>
        </w:numPr>
      </w:pPr>
      <w:r w:rsidRPr="00204DB4">
        <w:t xml:space="preserve">Afin d’éviter la confusion dans toute la mesure possible, surtout en cas d’urgence, de fréquentes activités de formation sur les procédures applicables en cas d’évacuation sont organisées par le Service de la sûreté et de la sécurité, notamment </w:t>
      </w:r>
      <w:r w:rsidRPr="00204DB4">
        <w:lastRenderedPageBreak/>
        <w:t>pour ce qui est des différents types d’urgence, de l’utilisation des ascenseurs et du maniement des sièges d’évacuation.</w:t>
      </w:r>
    </w:p>
    <w:p w14:paraId="24A05FE5" w14:textId="77777777" w:rsidR="008068CD" w:rsidRPr="00204DB4" w:rsidRDefault="008068CD" w:rsidP="008068CD">
      <w:pPr>
        <w:pStyle w:val="SingleTxt"/>
        <w:spacing w:after="0" w:line="120" w:lineRule="exact"/>
        <w:rPr>
          <w:b/>
          <w:sz w:val="10"/>
        </w:rPr>
      </w:pPr>
    </w:p>
    <w:p w14:paraId="04E7C686" w14:textId="77777777" w:rsidR="00204DB4" w:rsidRDefault="008068CD"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DB4">
        <w:tab/>
      </w:r>
      <w:r w:rsidRPr="00204DB4">
        <w:tab/>
        <w:t>Section 6</w:t>
      </w:r>
    </w:p>
    <w:p w14:paraId="457A221A" w14:textId="3DAEA4AB" w:rsidR="008068CD" w:rsidRPr="00204DB4" w:rsidRDefault="00204DB4" w:rsidP="008068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068CD" w:rsidRPr="00204DB4">
        <w:t>Dispositions finales</w:t>
      </w:r>
    </w:p>
    <w:p w14:paraId="797B1409" w14:textId="3474AE15" w:rsidR="008068CD" w:rsidRPr="00204DB4" w:rsidRDefault="008068CD" w:rsidP="008068CD">
      <w:pPr>
        <w:pStyle w:val="SingleTxt"/>
        <w:spacing w:after="0" w:line="120" w:lineRule="exact"/>
        <w:rPr>
          <w:b/>
          <w:sz w:val="10"/>
        </w:rPr>
      </w:pPr>
    </w:p>
    <w:p w14:paraId="305AD85E" w14:textId="77777777" w:rsidR="00204DB4" w:rsidRPr="00204DB4" w:rsidRDefault="00204DB4" w:rsidP="00204DB4">
      <w:pPr>
        <w:pStyle w:val="SingleTxt"/>
        <w:numPr>
          <w:ilvl w:val="0"/>
          <w:numId w:val="28"/>
        </w:numPr>
      </w:pPr>
      <w:r w:rsidRPr="00204DB4">
        <w:t>Le meilleur moyen d’être prêt en toute circonstance est d’avoir conscience du danger, de savoir comment parer à la menace et de bien comprendre les mesures mises en place pour assurer la protection de chacun. Toute question relative aux procédures d’évacuation doit être adressée au responsable de la lutte anti-incendie de votre secteur.</w:t>
      </w:r>
    </w:p>
    <w:p w14:paraId="282B630B" w14:textId="340C333C" w:rsidR="00204DB4" w:rsidRPr="00204DB4" w:rsidRDefault="00204DB4" w:rsidP="00204DB4">
      <w:pPr>
        <w:pStyle w:val="SingleTxt"/>
        <w:numPr>
          <w:ilvl w:val="0"/>
          <w:numId w:val="28"/>
        </w:numPr>
      </w:pPr>
      <w:r w:rsidRPr="00204DB4">
        <w:t>La présente circulaire entre en vigueur à la date de sa publication.</w:t>
      </w:r>
    </w:p>
    <w:p w14:paraId="3DA2D3D6" w14:textId="318FE9E9" w:rsidR="008068CD" w:rsidRPr="00204DB4" w:rsidRDefault="00204DB4" w:rsidP="00204DB4">
      <w:pPr>
        <w:pStyle w:val="SingleTxt"/>
        <w:numPr>
          <w:ilvl w:val="0"/>
          <w:numId w:val="28"/>
        </w:numPr>
      </w:pPr>
      <w:r w:rsidRPr="00204DB4">
        <w:t xml:space="preserve">La présente circulaire annule et remplace la circulaire </w:t>
      </w:r>
      <w:hyperlink r:id="rId15" w:history="1">
        <w:r w:rsidRPr="00204DB4">
          <w:rPr>
            <w:rStyle w:val="Hyperlink"/>
          </w:rPr>
          <w:t>ST/SGB/2002/8</w:t>
        </w:r>
      </w:hyperlink>
      <w:r w:rsidRPr="00204DB4">
        <w:t>, intitulée «</w:t>
      </w:r>
      <w:r>
        <w:t> </w:t>
      </w:r>
      <w:r w:rsidRPr="00204DB4">
        <w:t>Procédures applicables en cas d’évacuation du Siège de l’Organisation des Nations Unies</w:t>
      </w:r>
      <w:r>
        <w:t> </w:t>
      </w:r>
      <w:r w:rsidRPr="00204DB4">
        <w:t>».</w:t>
      </w:r>
    </w:p>
    <w:p w14:paraId="2AA58578" w14:textId="698D3733" w:rsidR="008068CD" w:rsidRPr="00204DB4" w:rsidRDefault="008068CD" w:rsidP="008068CD">
      <w:pPr>
        <w:pStyle w:val="SingleTxt"/>
        <w:spacing w:after="0" w:line="120" w:lineRule="exact"/>
        <w:rPr>
          <w:sz w:val="10"/>
        </w:rPr>
      </w:pPr>
    </w:p>
    <w:p w14:paraId="0B9777A9" w14:textId="6BB1236A" w:rsidR="008068CD" w:rsidRPr="00204DB4" w:rsidRDefault="008068CD" w:rsidP="008068CD">
      <w:pPr>
        <w:pStyle w:val="SingleTxt"/>
        <w:jc w:val="right"/>
      </w:pPr>
      <w:r w:rsidRPr="00204DB4">
        <w:t>Le Secrétaire général</w:t>
      </w:r>
      <w:r w:rsidRPr="00204DB4">
        <w:br/>
        <w:t>(</w:t>
      </w:r>
      <w:r w:rsidRPr="00204DB4">
        <w:rPr>
          <w:i/>
          <w:iCs/>
        </w:rPr>
        <w:t>Signé</w:t>
      </w:r>
      <w:r w:rsidRPr="00204DB4">
        <w:t xml:space="preserve">) António </w:t>
      </w:r>
      <w:r w:rsidRPr="00204DB4">
        <w:rPr>
          <w:b/>
          <w:bCs/>
        </w:rPr>
        <w:t>Guterres</w:t>
      </w:r>
    </w:p>
    <w:p w14:paraId="7B7CBCE6" w14:textId="0C5986D6" w:rsidR="008068CD" w:rsidRPr="00204DB4" w:rsidRDefault="008068CD" w:rsidP="008068CD">
      <w:pPr>
        <w:pStyle w:val="SingleTxt"/>
        <w:spacing w:after="0" w:line="240" w:lineRule="auto"/>
      </w:pPr>
      <w:r w:rsidRPr="00204DB4">
        <w:rPr>
          <w:noProof/>
          <w:w w:val="100"/>
        </w:rPr>
        <mc:AlternateContent>
          <mc:Choice Requires="wps">
            <w:drawing>
              <wp:anchor distT="0" distB="0" distL="114300" distR="114300" simplePos="0" relativeHeight="251659264" behindDoc="0" locked="0" layoutInCell="1" allowOverlap="1" wp14:anchorId="61966DAC" wp14:editId="0DCA5DC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9324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068CD" w:rsidRPr="00204DB4" w:rsidSect="008068CD">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69331" w14:textId="77777777" w:rsidR="00FF0C90" w:rsidRDefault="00FF0C90" w:rsidP="00101B18">
      <w:pPr>
        <w:spacing w:line="240" w:lineRule="auto"/>
      </w:pPr>
      <w:r>
        <w:separator/>
      </w:r>
    </w:p>
  </w:endnote>
  <w:endnote w:type="continuationSeparator" w:id="0">
    <w:p w14:paraId="5E5A280E" w14:textId="77777777" w:rsidR="00FF0C90" w:rsidRDefault="00FF0C9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87D4A" w14:paraId="1CF25D85" w14:textId="77777777" w:rsidTr="00287D4A">
      <w:tc>
        <w:tcPr>
          <w:tcW w:w="4920" w:type="dxa"/>
          <w:shd w:val="clear" w:color="auto" w:fill="auto"/>
        </w:tcPr>
        <w:p w14:paraId="6FEB6B0B" w14:textId="1234F8A8" w:rsidR="00287D4A" w:rsidRPr="00287D4A" w:rsidRDefault="00287D4A" w:rsidP="00287D4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56CC">
            <w:rPr>
              <w:b w:val="0"/>
              <w:w w:val="103"/>
              <w:sz w:val="14"/>
            </w:rPr>
            <w:t>18-16882</w:t>
          </w:r>
          <w:r>
            <w:rPr>
              <w:b w:val="0"/>
              <w:w w:val="103"/>
              <w:sz w:val="14"/>
            </w:rPr>
            <w:fldChar w:fldCharType="end"/>
          </w:r>
        </w:p>
      </w:tc>
      <w:tc>
        <w:tcPr>
          <w:tcW w:w="4920" w:type="dxa"/>
          <w:shd w:val="clear" w:color="auto" w:fill="auto"/>
        </w:tcPr>
        <w:p w14:paraId="35767850" w14:textId="77777777" w:rsidR="00287D4A" w:rsidRPr="00287D4A" w:rsidRDefault="00287D4A" w:rsidP="00287D4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8FA8399" w14:textId="77777777" w:rsidR="00287D4A" w:rsidRPr="00287D4A" w:rsidRDefault="00287D4A" w:rsidP="00287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87D4A" w14:paraId="1E93A291" w14:textId="77777777" w:rsidTr="00287D4A">
      <w:tc>
        <w:tcPr>
          <w:tcW w:w="4920" w:type="dxa"/>
          <w:shd w:val="clear" w:color="auto" w:fill="auto"/>
        </w:tcPr>
        <w:p w14:paraId="0CCA2F13" w14:textId="77777777" w:rsidR="00287D4A" w:rsidRPr="00287D4A" w:rsidRDefault="00287D4A" w:rsidP="00287D4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37C9CAE" w14:textId="04D75027" w:rsidR="00287D4A" w:rsidRPr="00287D4A" w:rsidRDefault="00287D4A" w:rsidP="00287D4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56CC">
            <w:rPr>
              <w:b w:val="0"/>
              <w:w w:val="103"/>
              <w:sz w:val="14"/>
            </w:rPr>
            <w:t>18-16882</w:t>
          </w:r>
          <w:r>
            <w:rPr>
              <w:b w:val="0"/>
              <w:w w:val="103"/>
              <w:sz w:val="14"/>
            </w:rPr>
            <w:fldChar w:fldCharType="end"/>
          </w:r>
        </w:p>
      </w:tc>
    </w:tr>
  </w:tbl>
  <w:p w14:paraId="20D068F9" w14:textId="77777777" w:rsidR="00287D4A" w:rsidRPr="00287D4A" w:rsidRDefault="00287D4A" w:rsidP="00287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1FA6" w14:textId="77777777" w:rsidR="00287D4A" w:rsidRDefault="00287D4A">
    <w:pPr>
      <w:pStyle w:val="Footer"/>
    </w:pPr>
    <w:r>
      <w:rPr>
        <w:noProof/>
      </w:rPr>
      <w:drawing>
        <wp:anchor distT="0" distB="0" distL="114300" distR="114300" simplePos="0" relativeHeight="251658240" behindDoc="0" locked="0" layoutInCell="1" allowOverlap="1" wp14:anchorId="585C045F" wp14:editId="5D20A7D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8/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287D4A" w14:paraId="11FCFA6D" w14:textId="77777777" w:rsidTr="00287D4A">
      <w:tc>
        <w:tcPr>
          <w:tcW w:w="3758" w:type="dxa"/>
        </w:tcPr>
        <w:p w14:paraId="05721307" w14:textId="268D6480" w:rsidR="00287D4A" w:rsidRDefault="00287D4A" w:rsidP="00287D4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556CC">
            <w:rPr>
              <w:b w:val="0"/>
              <w:sz w:val="20"/>
            </w:rPr>
            <w:t>18-16882 (F)</w:t>
          </w:r>
          <w:r>
            <w:rPr>
              <w:b w:val="0"/>
              <w:sz w:val="20"/>
            </w:rPr>
            <w:fldChar w:fldCharType="end"/>
          </w:r>
          <w:r>
            <w:rPr>
              <w:b w:val="0"/>
              <w:sz w:val="20"/>
            </w:rPr>
            <w:t xml:space="preserve">    1</w:t>
          </w:r>
          <w:r w:rsidR="009965DB">
            <w:rPr>
              <w:b w:val="0"/>
              <w:sz w:val="20"/>
            </w:rPr>
            <w:t>5</w:t>
          </w:r>
          <w:r>
            <w:rPr>
              <w:b w:val="0"/>
              <w:sz w:val="20"/>
            </w:rPr>
            <w:t>1018    1</w:t>
          </w:r>
          <w:r w:rsidR="009965DB">
            <w:rPr>
              <w:b w:val="0"/>
              <w:sz w:val="20"/>
            </w:rPr>
            <w:t>6</w:t>
          </w:r>
          <w:r>
            <w:rPr>
              <w:b w:val="0"/>
              <w:sz w:val="20"/>
            </w:rPr>
            <w:t>1018</w:t>
          </w:r>
        </w:p>
        <w:p w14:paraId="0450A06E" w14:textId="7893C07E" w:rsidR="00287D4A" w:rsidRPr="00287D4A" w:rsidRDefault="00287D4A" w:rsidP="00287D4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556CC">
            <w:rPr>
              <w:rFonts w:ascii="Barcode 3 of 9 by request" w:hAnsi="Barcode 3 of 9 by request"/>
              <w:b w:val="0"/>
              <w:spacing w:val="0"/>
              <w:w w:val="100"/>
              <w:sz w:val="24"/>
            </w:rPr>
            <w:t>*1816882*</w:t>
          </w:r>
          <w:r>
            <w:rPr>
              <w:rFonts w:ascii="Barcode 3 of 9 by request" w:hAnsi="Barcode 3 of 9 by request"/>
              <w:b w:val="0"/>
              <w:spacing w:val="0"/>
              <w:w w:val="100"/>
              <w:sz w:val="24"/>
            </w:rPr>
            <w:fldChar w:fldCharType="end"/>
          </w:r>
        </w:p>
      </w:tc>
      <w:tc>
        <w:tcPr>
          <w:tcW w:w="4920" w:type="dxa"/>
        </w:tcPr>
        <w:p w14:paraId="242747DF" w14:textId="77777777" w:rsidR="00287D4A" w:rsidRDefault="00287D4A" w:rsidP="00287D4A">
          <w:pPr>
            <w:pStyle w:val="Footer"/>
            <w:spacing w:line="240" w:lineRule="atLeast"/>
            <w:jc w:val="right"/>
            <w:rPr>
              <w:b w:val="0"/>
              <w:sz w:val="20"/>
            </w:rPr>
          </w:pPr>
          <w:r>
            <w:rPr>
              <w:b w:val="0"/>
              <w:noProof/>
              <w:sz w:val="20"/>
            </w:rPr>
            <w:drawing>
              <wp:inline distT="0" distB="0" distL="0" distR="0" wp14:anchorId="48D4FD6A" wp14:editId="2E0A987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11FD4DB" w14:textId="77777777" w:rsidR="00287D4A" w:rsidRPr="00287D4A" w:rsidRDefault="00287D4A" w:rsidP="00287D4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07F7" w14:textId="77777777" w:rsidR="00FF0C90" w:rsidRDefault="00FF0C90" w:rsidP="00101B18">
      <w:pPr>
        <w:spacing w:line="240" w:lineRule="auto"/>
      </w:pPr>
      <w:r>
        <w:separator/>
      </w:r>
    </w:p>
  </w:footnote>
  <w:footnote w:type="continuationSeparator" w:id="0">
    <w:p w14:paraId="48E066FF" w14:textId="77777777" w:rsidR="00FF0C90" w:rsidRDefault="00FF0C90"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87D4A" w14:paraId="467632CD" w14:textId="77777777" w:rsidTr="00287D4A">
      <w:trPr>
        <w:trHeight w:hRule="exact" w:val="864"/>
      </w:trPr>
      <w:tc>
        <w:tcPr>
          <w:tcW w:w="4920" w:type="dxa"/>
          <w:shd w:val="clear" w:color="auto" w:fill="auto"/>
          <w:vAlign w:val="bottom"/>
        </w:tcPr>
        <w:p w14:paraId="26FDA3B0" w14:textId="5CD45E3E" w:rsidR="00287D4A" w:rsidRPr="00287D4A" w:rsidRDefault="00287D4A" w:rsidP="00287D4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56CC">
            <w:rPr>
              <w:b/>
              <w:color w:val="000000"/>
            </w:rPr>
            <w:t>ST/SGB/2018/7</w:t>
          </w:r>
          <w:r>
            <w:rPr>
              <w:b/>
              <w:color w:val="000000"/>
            </w:rPr>
            <w:fldChar w:fldCharType="end"/>
          </w:r>
        </w:p>
      </w:tc>
      <w:tc>
        <w:tcPr>
          <w:tcW w:w="4920" w:type="dxa"/>
          <w:shd w:val="clear" w:color="auto" w:fill="auto"/>
          <w:vAlign w:val="bottom"/>
        </w:tcPr>
        <w:p w14:paraId="6B7D7173" w14:textId="77777777" w:rsidR="00287D4A" w:rsidRDefault="00287D4A" w:rsidP="00287D4A">
          <w:pPr>
            <w:pStyle w:val="Header"/>
          </w:pPr>
        </w:p>
      </w:tc>
    </w:tr>
  </w:tbl>
  <w:p w14:paraId="3F87BD36" w14:textId="77777777" w:rsidR="00287D4A" w:rsidRPr="00287D4A" w:rsidRDefault="00287D4A" w:rsidP="00287D4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87D4A" w14:paraId="1C735471" w14:textId="77777777" w:rsidTr="00287D4A">
      <w:trPr>
        <w:trHeight w:hRule="exact" w:val="864"/>
      </w:trPr>
      <w:tc>
        <w:tcPr>
          <w:tcW w:w="4920" w:type="dxa"/>
          <w:shd w:val="clear" w:color="auto" w:fill="auto"/>
          <w:vAlign w:val="bottom"/>
        </w:tcPr>
        <w:p w14:paraId="286B6E60" w14:textId="77777777" w:rsidR="00287D4A" w:rsidRDefault="00287D4A" w:rsidP="00287D4A">
          <w:pPr>
            <w:pStyle w:val="Header"/>
          </w:pPr>
        </w:p>
      </w:tc>
      <w:tc>
        <w:tcPr>
          <w:tcW w:w="4920" w:type="dxa"/>
          <w:shd w:val="clear" w:color="auto" w:fill="auto"/>
          <w:vAlign w:val="bottom"/>
        </w:tcPr>
        <w:p w14:paraId="3C762B99" w14:textId="0A95F878" w:rsidR="00287D4A" w:rsidRPr="00287D4A" w:rsidRDefault="00287D4A" w:rsidP="00287D4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56CC">
            <w:rPr>
              <w:b/>
              <w:color w:val="000000"/>
            </w:rPr>
            <w:t>ST/SGB/2018/7</w:t>
          </w:r>
          <w:r>
            <w:rPr>
              <w:b/>
              <w:color w:val="000000"/>
            </w:rPr>
            <w:fldChar w:fldCharType="end"/>
          </w:r>
        </w:p>
      </w:tc>
    </w:tr>
  </w:tbl>
  <w:p w14:paraId="0F7B2DF3" w14:textId="77777777" w:rsidR="00287D4A" w:rsidRPr="00287D4A" w:rsidRDefault="00287D4A" w:rsidP="00287D4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87D4A" w14:paraId="43D9D7E9" w14:textId="77777777" w:rsidTr="00287D4A">
      <w:trPr>
        <w:trHeight w:hRule="exact" w:val="864"/>
      </w:trPr>
      <w:tc>
        <w:tcPr>
          <w:tcW w:w="1267" w:type="dxa"/>
          <w:tcBorders>
            <w:bottom w:val="single" w:sz="4" w:space="0" w:color="auto"/>
          </w:tcBorders>
          <w:shd w:val="clear" w:color="auto" w:fill="auto"/>
          <w:vAlign w:val="bottom"/>
        </w:tcPr>
        <w:p w14:paraId="23342A9C" w14:textId="77777777" w:rsidR="00287D4A" w:rsidRDefault="00287D4A" w:rsidP="00287D4A">
          <w:pPr>
            <w:pStyle w:val="Header"/>
            <w:spacing w:after="120"/>
          </w:pPr>
        </w:p>
      </w:tc>
      <w:tc>
        <w:tcPr>
          <w:tcW w:w="2059" w:type="dxa"/>
          <w:tcBorders>
            <w:bottom w:val="single" w:sz="4" w:space="0" w:color="auto"/>
          </w:tcBorders>
          <w:shd w:val="clear" w:color="auto" w:fill="auto"/>
          <w:vAlign w:val="bottom"/>
        </w:tcPr>
        <w:p w14:paraId="23535540" w14:textId="77777777" w:rsidR="00287D4A" w:rsidRPr="00287D4A" w:rsidRDefault="00287D4A" w:rsidP="00287D4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EFA4307" w14:textId="77777777" w:rsidR="00287D4A" w:rsidRDefault="00287D4A" w:rsidP="00287D4A">
          <w:pPr>
            <w:pStyle w:val="Header"/>
            <w:spacing w:after="120"/>
          </w:pPr>
        </w:p>
      </w:tc>
      <w:tc>
        <w:tcPr>
          <w:tcW w:w="6466" w:type="dxa"/>
          <w:gridSpan w:val="3"/>
          <w:tcBorders>
            <w:bottom w:val="single" w:sz="4" w:space="0" w:color="auto"/>
          </w:tcBorders>
          <w:shd w:val="clear" w:color="auto" w:fill="auto"/>
          <w:vAlign w:val="bottom"/>
        </w:tcPr>
        <w:p w14:paraId="71EA4805" w14:textId="77777777" w:rsidR="00287D4A" w:rsidRPr="00287D4A" w:rsidRDefault="00287D4A" w:rsidP="00287D4A">
          <w:pPr>
            <w:spacing w:after="80" w:line="240" w:lineRule="auto"/>
            <w:jc w:val="right"/>
            <w:rPr>
              <w:position w:val="-4"/>
            </w:rPr>
          </w:pPr>
          <w:r>
            <w:rPr>
              <w:position w:val="-4"/>
              <w:sz w:val="40"/>
            </w:rPr>
            <w:t>ST</w:t>
          </w:r>
          <w:r>
            <w:rPr>
              <w:position w:val="-4"/>
            </w:rPr>
            <w:t>/SGB/2018/7</w:t>
          </w:r>
        </w:p>
      </w:tc>
    </w:tr>
    <w:tr w:rsidR="00287D4A" w:rsidRPr="00287D4A" w14:paraId="6EBF8659" w14:textId="77777777" w:rsidTr="00287D4A">
      <w:trPr>
        <w:trHeight w:hRule="exact" w:val="2880"/>
      </w:trPr>
      <w:tc>
        <w:tcPr>
          <w:tcW w:w="1267" w:type="dxa"/>
          <w:tcBorders>
            <w:top w:val="single" w:sz="4" w:space="0" w:color="auto"/>
            <w:bottom w:val="single" w:sz="12" w:space="0" w:color="auto"/>
          </w:tcBorders>
          <w:shd w:val="clear" w:color="auto" w:fill="auto"/>
        </w:tcPr>
        <w:p w14:paraId="173CD54C" w14:textId="77777777" w:rsidR="00287D4A" w:rsidRPr="00287D4A" w:rsidRDefault="00287D4A" w:rsidP="00287D4A">
          <w:pPr>
            <w:pStyle w:val="Header"/>
            <w:spacing w:before="120" w:line="240" w:lineRule="auto"/>
            <w:ind w:left="-72"/>
            <w:jc w:val="center"/>
          </w:pPr>
          <w:r>
            <w:t xml:space="preserve">  </w:t>
          </w:r>
          <w:r>
            <w:rPr>
              <w:noProof/>
            </w:rPr>
            <w:drawing>
              <wp:inline distT="0" distB="0" distL="0" distR="0" wp14:anchorId="3D94ED97" wp14:editId="156B81B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CF7B4F" w14:textId="77777777" w:rsidR="00287D4A" w:rsidRPr="00287D4A" w:rsidRDefault="00287D4A" w:rsidP="00287D4A">
          <w:pPr>
            <w:pStyle w:val="XLarge"/>
            <w:spacing w:before="109"/>
          </w:pPr>
          <w:r>
            <w:t>Secrétariat</w:t>
          </w:r>
        </w:p>
      </w:tc>
      <w:tc>
        <w:tcPr>
          <w:tcW w:w="245" w:type="dxa"/>
          <w:tcBorders>
            <w:top w:val="single" w:sz="4" w:space="0" w:color="auto"/>
            <w:bottom w:val="single" w:sz="12" w:space="0" w:color="auto"/>
          </w:tcBorders>
          <w:shd w:val="clear" w:color="auto" w:fill="auto"/>
        </w:tcPr>
        <w:p w14:paraId="19BA501B" w14:textId="77777777" w:rsidR="00287D4A" w:rsidRPr="00287D4A" w:rsidRDefault="00287D4A" w:rsidP="00287D4A">
          <w:pPr>
            <w:pStyle w:val="Header"/>
            <w:spacing w:before="109"/>
          </w:pPr>
        </w:p>
      </w:tc>
      <w:tc>
        <w:tcPr>
          <w:tcW w:w="3110" w:type="dxa"/>
          <w:tcBorders>
            <w:top w:val="single" w:sz="4" w:space="0" w:color="auto"/>
            <w:bottom w:val="single" w:sz="12" w:space="0" w:color="auto"/>
          </w:tcBorders>
          <w:shd w:val="clear" w:color="auto" w:fill="auto"/>
        </w:tcPr>
        <w:p w14:paraId="1B9FDD73" w14:textId="77777777" w:rsidR="00287D4A" w:rsidRDefault="00287D4A" w:rsidP="00287D4A">
          <w:pPr>
            <w:pStyle w:val="Publication"/>
            <w:spacing w:before="400"/>
            <w:rPr>
              <w:color w:val="000000"/>
            </w:rPr>
          </w:pPr>
          <w:r>
            <w:rPr>
              <w:color w:val="000000"/>
            </w:rPr>
            <w:t>8 octobre 2018</w:t>
          </w:r>
        </w:p>
        <w:p w14:paraId="00CA5F88" w14:textId="064B484C" w:rsidR="00287D4A" w:rsidRPr="00287D4A" w:rsidRDefault="00287D4A" w:rsidP="00287D4A">
          <w:pPr>
            <w:pStyle w:val="Original"/>
            <w:rPr>
              <w:color w:val="000000"/>
            </w:rPr>
          </w:pPr>
        </w:p>
      </w:tc>
    </w:tr>
  </w:tbl>
  <w:p w14:paraId="4491E909" w14:textId="77777777" w:rsidR="00287D4A" w:rsidRPr="00287D4A" w:rsidRDefault="00287D4A" w:rsidP="00287D4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E841E0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57462A1"/>
    <w:multiLevelType w:val="singleLevel"/>
    <w:tmpl w:val="FC387E0C"/>
    <w:lvl w:ilvl="0">
      <w:start w:val="1"/>
      <w:numFmt w:val="decimal"/>
      <w:lvlRestart w:val="0"/>
      <w:lvlText w:val="3.%1"/>
      <w:lvlJc w:val="left"/>
      <w:pPr>
        <w:tabs>
          <w:tab w:val="num" w:pos="1742"/>
        </w:tabs>
        <w:ind w:left="1267" w:firstLine="0"/>
      </w:pPr>
      <w:rPr>
        <w:w w:val="100"/>
      </w:rPr>
    </w:lvl>
  </w:abstractNum>
  <w:abstractNum w:abstractNumId="2" w15:restartNumberingAfterBreak="0">
    <w:nsid w:val="0A200E9A"/>
    <w:multiLevelType w:val="singleLevel"/>
    <w:tmpl w:val="89700D36"/>
    <w:lvl w:ilvl="0">
      <w:start w:val="1"/>
      <w:numFmt w:val="decimal"/>
      <w:lvlRestart w:val="0"/>
      <w:lvlText w:val="5.%1"/>
      <w:lvlJc w:val="left"/>
      <w:pPr>
        <w:tabs>
          <w:tab w:val="num" w:pos="1742"/>
        </w:tabs>
        <w:ind w:left="1267" w:firstLine="0"/>
      </w:pPr>
      <w:rPr>
        <w:w w:val="100"/>
      </w:rPr>
    </w:lvl>
  </w:abstractNum>
  <w:abstractNum w:abstractNumId="3" w15:restartNumberingAfterBreak="0">
    <w:nsid w:val="12D06B23"/>
    <w:multiLevelType w:val="multilevel"/>
    <w:tmpl w:val="99E44FB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60D2B99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71A24"/>
    <w:multiLevelType w:val="multilevel"/>
    <w:tmpl w:val="EF58BB28"/>
    <w:lvl w:ilvl="0">
      <w:start w:val="1"/>
      <w:numFmt w:val="decimal"/>
      <w:lvlText w:val="4.%1"/>
      <w:lvlJc w:val="left"/>
      <w:pPr>
        <w:ind w:left="1440" w:hanging="14"/>
      </w:pPr>
      <w:rPr>
        <w:rFonts w:hint="default"/>
      </w:rPr>
    </w:lvl>
    <w:lvl w:ilvl="1">
      <w:start w:val="1"/>
      <w:numFmt w:val="lowerLetter"/>
      <w:lvlText w:val="%2)"/>
      <w:lvlJc w:val="left"/>
      <w:pPr>
        <w:ind w:left="1613" w:hanging="14"/>
      </w:pPr>
      <w:rPr>
        <w:rFonts w:hint="default"/>
      </w:rPr>
    </w:lvl>
    <w:lvl w:ilvl="2">
      <w:start w:val="1"/>
      <w:numFmt w:val="none"/>
      <w:lvlText w:val="1.3"/>
      <w:lvlJc w:val="right"/>
      <w:pPr>
        <w:ind w:left="1786" w:hanging="14"/>
      </w:pPr>
      <w:rPr>
        <w:rFonts w:hint="default"/>
      </w:rPr>
    </w:lvl>
    <w:lvl w:ilvl="3">
      <w:start w:val="1"/>
      <w:numFmt w:val="decimal"/>
      <w:lvlText w:val="%4."/>
      <w:lvlJc w:val="left"/>
      <w:pPr>
        <w:ind w:left="1959" w:hanging="14"/>
      </w:pPr>
      <w:rPr>
        <w:rFonts w:hint="default"/>
      </w:rPr>
    </w:lvl>
    <w:lvl w:ilvl="4">
      <w:start w:val="1"/>
      <w:numFmt w:val="lowerLetter"/>
      <w:lvlText w:val="%5."/>
      <w:lvlJc w:val="left"/>
      <w:pPr>
        <w:ind w:left="2132" w:hanging="14"/>
      </w:pPr>
      <w:rPr>
        <w:rFonts w:hint="default"/>
      </w:rPr>
    </w:lvl>
    <w:lvl w:ilvl="5">
      <w:start w:val="1"/>
      <w:numFmt w:val="lowerRoman"/>
      <w:lvlText w:val="%6."/>
      <w:lvlJc w:val="right"/>
      <w:pPr>
        <w:ind w:left="2305" w:hanging="14"/>
      </w:pPr>
      <w:rPr>
        <w:rFonts w:hint="default"/>
      </w:rPr>
    </w:lvl>
    <w:lvl w:ilvl="6">
      <w:start w:val="1"/>
      <w:numFmt w:val="decimal"/>
      <w:lvlText w:val="%7."/>
      <w:lvlJc w:val="left"/>
      <w:pPr>
        <w:ind w:left="2478" w:hanging="14"/>
      </w:pPr>
      <w:rPr>
        <w:rFonts w:hint="default"/>
      </w:rPr>
    </w:lvl>
    <w:lvl w:ilvl="7">
      <w:start w:val="1"/>
      <w:numFmt w:val="lowerLetter"/>
      <w:lvlText w:val="%8."/>
      <w:lvlJc w:val="left"/>
      <w:pPr>
        <w:ind w:left="2651" w:hanging="14"/>
      </w:pPr>
      <w:rPr>
        <w:rFonts w:hint="default"/>
      </w:rPr>
    </w:lvl>
    <w:lvl w:ilvl="8">
      <w:start w:val="1"/>
      <w:numFmt w:val="lowerRoman"/>
      <w:lvlText w:val="%9."/>
      <w:lvlJc w:val="right"/>
      <w:pPr>
        <w:ind w:left="2824" w:hanging="14"/>
      </w:pPr>
      <w:rPr>
        <w:rFonts w:hint="default"/>
      </w:rPr>
    </w:lvl>
  </w:abstractNum>
  <w:abstractNum w:abstractNumId="6" w15:restartNumberingAfterBreak="0">
    <w:nsid w:val="358613F3"/>
    <w:multiLevelType w:val="singleLevel"/>
    <w:tmpl w:val="0AAE0C04"/>
    <w:lvl w:ilvl="0">
      <w:start w:val="2"/>
      <w:numFmt w:val="decimal"/>
      <w:lvlRestart w:val="0"/>
      <w:lvlText w:val="%1."/>
      <w:lvlJc w:val="left"/>
      <w:pPr>
        <w:tabs>
          <w:tab w:val="num" w:pos="1742"/>
        </w:tabs>
        <w:ind w:left="1267" w:firstLine="0"/>
      </w:pPr>
      <w:rPr>
        <w:w w:val="100"/>
      </w:rPr>
    </w:lvl>
  </w:abstractNum>
  <w:abstractNum w:abstractNumId="7" w15:restartNumberingAfterBreak="0">
    <w:nsid w:val="40BE7373"/>
    <w:multiLevelType w:val="multilevel"/>
    <w:tmpl w:val="4CA00AF8"/>
    <w:lvl w:ilvl="0">
      <w:start w:val="1"/>
      <w:numFmt w:val="decimal"/>
      <w:lvlText w:val="3.%1"/>
      <w:lvlJc w:val="left"/>
      <w:pPr>
        <w:ind w:left="1440" w:hanging="14"/>
      </w:pPr>
      <w:rPr>
        <w:rFonts w:hint="default"/>
      </w:rPr>
    </w:lvl>
    <w:lvl w:ilvl="1">
      <w:start w:val="1"/>
      <w:numFmt w:val="lowerLetter"/>
      <w:lvlText w:val="%2)"/>
      <w:lvlJc w:val="left"/>
      <w:pPr>
        <w:ind w:left="1080" w:firstLine="519"/>
      </w:pPr>
      <w:rPr>
        <w:rFonts w:hint="default"/>
      </w:rPr>
    </w:lvl>
    <w:lvl w:ilvl="2">
      <w:start w:val="1"/>
      <w:numFmt w:val="none"/>
      <w:lvlText w:val="1.3"/>
      <w:lvlJc w:val="right"/>
      <w:pPr>
        <w:ind w:left="1786" w:hanging="14"/>
      </w:pPr>
      <w:rPr>
        <w:rFonts w:hint="default"/>
      </w:rPr>
    </w:lvl>
    <w:lvl w:ilvl="3">
      <w:start w:val="1"/>
      <w:numFmt w:val="decimal"/>
      <w:lvlText w:val="%4."/>
      <w:lvlJc w:val="left"/>
      <w:pPr>
        <w:ind w:left="1959" w:hanging="14"/>
      </w:pPr>
      <w:rPr>
        <w:rFonts w:hint="default"/>
      </w:rPr>
    </w:lvl>
    <w:lvl w:ilvl="4">
      <w:start w:val="1"/>
      <w:numFmt w:val="lowerLetter"/>
      <w:lvlText w:val="%5."/>
      <w:lvlJc w:val="left"/>
      <w:pPr>
        <w:ind w:left="2132" w:hanging="14"/>
      </w:pPr>
      <w:rPr>
        <w:rFonts w:hint="default"/>
      </w:rPr>
    </w:lvl>
    <w:lvl w:ilvl="5">
      <w:start w:val="1"/>
      <w:numFmt w:val="lowerRoman"/>
      <w:lvlText w:val="%6."/>
      <w:lvlJc w:val="right"/>
      <w:pPr>
        <w:ind w:left="2305" w:hanging="14"/>
      </w:pPr>
      <w:rPr>
        <w:rFonts w:hint="default"/>
      </w:rPr>
    </w:lvl>
    <w:lvl w:ilvl="6">
      <w:start w:val="1"/>
      <w:numFmt w:val="decimal"/>
      <w:lvlText w:val="%7."/>
      <w:lvlJc w:val="left"/>
      <w:pPr>
        <w:ind w:left="2478" w:hanging="14"/>
      </w:pPr>
      <w:rPr>
        <w:rFonts w:hint="default"/>
      </w:rPr>
    </w:lvl>
    <w:lvl w:ilvl="7">
      <w:start w:val="1"/>
      <w:numFmt w:val="lowerLetter"/>
      <w:lvlText w:val="%8."/>
      <w:lvlJc w:val="left"/>
      <w:pPr>
        <w:ind w:left="2651" w:hanging="14"/>
      </w:pPr>
      <w:rPr>
        <w:rFonts w:hint="default"/>
      </w:rPr>
    </w:lvl>
    <w:lvl w:ilvl="8">
      <w:start w:val="1"/>
      <w:numFmt w:val="lowerRoman"/>
      <w:lvlText w:val="%9."/>
      <w:lvlJc w:val="right"/>
      <w:pPr>
        <w:ind w:left="2824" w:hanging="14"/>
      </w:pPr>
      <w:rPr>
        <w:rFonts w:hint="default"/>
      </w:rPr>
    </w:lvl>
  </w:abstractNum>
  <w:abstractNum w:abstractNumId="8" w15:restartNumberingAfterBreak="0">
    <w:nsid w:val="44F11D8B"/>
    <w:multiLevelType w:val="singleLevel"/>
    <w:tmpl w:val="EBD4C5B6"/>
    <w:lvl w:ilvl="0">
      <w:start w:val="1"/>
      <w:numFmt w:val="decimal"/>
      <w:lvlRestart w:val="0"/>
      <w:lvlText w:val="4.%1"/>
      <w:lvlJc w:val="left"/>
      <w:pPr>
        <w:tabs>
          <w:tab w:val="num" w:pos="1742"/>
        </w:tabs>
        <w:ind w:left="1267" w:firstLine="0"/>
      </w:pPr>
      <w:rPr>
        <w:w w:val="100"/>
      </w:rPr>
    </w:lvl>
  </w:abstractNum>
  <w:abstractNum w:abstractNumId="9" w15:restartNumberingAfterBreak="0">
    <w:nsid w:val="47B40547"/>
    <w:multiLevelType w:val="hybridMultilevel"/>
    <w:tmpl w:val="6F5231C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13ADA"/>
    <w:multiLevelType w:val="singleLevel"/>
    <w:tmpl w:val="D48802D2"/>
    <w:lvl w:ilvl="0">
      <w:start w:val="1"/>
      <w:numFmt w:val="decimal"/>
      <w:lvlRestart w:val="0"/>
      <w:lvlText w:val="2.%1"/>
      <w:lvlJc w:val="left"/>
      <w:pPr>
        <w:tabs>
          <w:tab w:val="num" w:pos="1742"/>
        </w:tabs>
        <w:ind w:left="1267" w:firstLine="0"/>
      </w:pPr>
      <w:rPr>
        <w:w w:val="100"/>
      </w:rPr>
    </w:lvl>
  </w:abstractNum>
  <w:abstractNum w:abstractNumId="11" w15:restartNumberingAfterBreak="0">
    <w:nsid w:val="51E34208"/>
    <w:multiLevelType w:val="singleLevel"/>
    <w:tmpl w:val="0894803A"/>
    <w:lvl w:ilvl="0">
      <w:start w:val="1"/>
      <w:numFmt w:val="decimal"/>
      <w:lvlRestart w:val="0"/>
      <w:lvlText w:val="6.%1"/>
      <w:lvlJc w:val="left"/>
      <w:pPr>
        <w:tabs>
          <w:tab w:val="num" w:pos="1742"/>
        </w:tabs>
        <w:ind w:left="1267" w:firstLine="0"/>
      </w:pPr>
      <w:rPr>
        <w:w w:val="100"/>
        <w:lang w:val="en-GB"/>
      </w:rPr>
    </w:lvl>
  </w:abstractNum>
  <w:abstractNum w:abstractNumId="12" w15:restartNumberingAfterBreak="0">
    <w:nsid w:val="62FA6B47"/>
    <w:multiLevelType w:val="singleLevel"/>
    <w:tmpl w:val="A8BE2B54"/>
    <w:lvl w:ilvl="0">
      <w:start w:val="1"/>
      <w:numFmt w:val="decimal"/>
      <w:lvlRestart w:val="0"/>
      <w:lvlText w:val="6.%1"/>
      <w:lvlJc w:val="left"/>
      <w:pPr>
        <w:tabs>
          <w:tab w:val="num" w:pos="1742"/>
        </w:tabs>
        <w:ind w:left="1267" w:firstLine="0"/>
      </w:pPr>
      <w:rPr>
        <w:w w:val="100"/>
      </w:rPr>
    </w:lvl>
  </w:abstractNum>
  <w:abstractNum w:abstractNumId="13" w15:restartNumberingAfterBreak="0">
    <w:nsid w:val="67282E91"/>
    <w:multiLevelType w:val="hybridMultilevel"/>
    <w:tmpl w:val="8E48DB44"/>
    <w:lvl w:ilvl="0" w:tplc="C3E23D50">
      <w:start w:val="1"/>
      <w:numFmt w:val="decimal"/>
      <w:lvlText w:val="1.%1"/>
      <w:lvlJc w:val="left"/>
      <w:pPr>
        <w:ind w:left="1440" w:hanging="15"/>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4" w15:restartNumberingAfterBreak="0">
    <w:nsid w:val="744F4949"/>
    <w:multiLevelType w:val="hybridMultilevel"/>
    <w:tmpl w:val="EA72DC4A"/>
    <w:lvl w:ilvl="0" w:tplc="E9C4CCB6">
      <w:start w:val="1"/>
      <w:numFmt w:val="decimal"/>
      <w:lvlText w:val="6.%1"/>
      <w:lvlJc w:val="left"/>
      <w:pPr>
        <w:ind w:left="1425" w:firstLine="43"/>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15" w15:restartNumberingAfterBreak="0">
    <w:nsid w:val="771B0E7E"/>
    <w:multiLevelType w:val="singleLevel"/>
    <w:tmpl w:val="6A769D16"/>
    <w:lvl w:ilvl="0">
      <w:start w:val="1"/>
      <w:numFmt w:val="decimal"/>
      <w:lvlRestart w:val="0"/>
      <w:lvlText w:val="1.%1"/>
      <w:lvlJc w:val="left"/>
      <w:pPr>
        <w:tabs>
          <w:tab w:val="num" w:pos="1742"/>
        </w:tabs>
        <w:ind w:left="1267" w:firstLine="0"/>
      </w:pPr>
      <w:rPr>
        <w:w w:val="100"/>
      </w:rPr>
    </w:lvl>
  </w:abstractNum>
  <w:abstractNum w:abstractNumId="16" w15:restartNumberingAfterBreak="0">
    <w:nsid w:val="7DD5371B"/>
    <w:multiLevelType w:val="multilevel"/>
    <w:tmpl w:val="FB048902"/>
    <w:lvl w:ilvl="0">
      <w:start w:val="1"/>
      <w:numFmt w:val="decimal"/>
      <w:lvlText w:val="2.%1"/>
      <w:lvlJc w:val="left"/>
      <w:pPr>
        <w:ind w:left="1440" w:hanging="14"/>
      </w:pPr>
      <w:rPr>
        <w:rFonts w:hint="default"/>
      </w:rPr>
    </w:lvl>
    <w:lvl w:ilvl="1">
      <w:start w:val="1"/>
      <w:numFmt w:val="none"/>
      <w:lvlText w:val="1.2"/>
      <w:lvlJc w:val="center"/>
      <w:pPr>
        <w:ind w:left="1613" w:hanging="14"/>
      </w:pPr>
      <w:rPr>
        <w:rFonts w:hint="default"/>
      </w:rPr>
    </w:lvl>
    <w:lvl w:ilvl="2">
      <w:start w:val="1"/>
      <w:numFmt w:val="none"/>
      <w:lvlText w:val="1.3"/>
      <w:lvlJc w:val="right"/>
      <w:pPr>
        <w:ind w:left="1786" w:hanging="14"/>
      </w:pPr>
      <w:rPr>
        <w:rFonts w:hint="default"/>
      </w:rPr>
    </w:lvl>
    <w:lvl w:ilvl="3">
      <w:start w:val="1"/>
      <w:numFmt w:val="decimal"/>
      <w:lvlText w:val="%4."/>
      <w:lvlJc w:val="left"/>
      <w:pPr>
        <w:ind w:left="1959" w:hanging="14"/>
      </w:pPr>
      <w:rPr>
        <w:rFonts w:hint="default"/>
      </w:rPr>
    </w:lvl>
    <w:lvl w:ilvl="4">
      <w:start w:val="1"/>
      <w:numFmt w:val="lowerLetter"/>
      <w:lvlText w:val="%5."/>
      <w:lvlJc w:val="left"/>
      <w:pPr>
        <w:ind w:left="2132" w:hanging="14"/>
      </w:pPr>
      <w:rPr>
        <w:rFonts w:hint="default"/>
      </w:rPr>
    </w:lvl>
    <w:lvl w:ilvl="5">
      <w:start w:val="1"/>
      <w:numFmt w:val="lowerRoman"/>
      <w:lvlText w:val="%6."/>
      <w:lvlJc w:val="right"/>
      <w:pPr>
        <w:ind w:left="2305" w:hanging="14"/>
      </w:pPr>
      <w:rPr>
        <w:rFonts w:hint="default"/>
      </w:rPr>
    </w:lvl>
    <w:lvl w:ilvl="6">
      <w:start w:val="1"/>
      <w:numFmt w:val="decimal"/>
      <w:lvlText w:val="%7."/>
      <w:lvlJc w:val="left"/>
      <w:pPr>
        <w:ind w:left="2478" w:hanging="14"/>
      </w:pPr>
      <w:rPr>
        <w:rFonts w:hint="default"/>
      </w:rPr>
    </w:lvl>
    <w:lvl w:ilvl="7">
      <w:start w:val="1"/>
      <w:numFmt w:val="lowerLetter"/>
      <w:lvlText w:val="%8."/>
      <w:lvlJc w:val="left"/>
      <w:pPr>
        <w:ind w:left="2651" w:hanging="14"/>
      </w:pPr>
      <w:rPr>
        <w:rFonts w:hint="default"/>
      </w:rPr>
    </w:lvl>
    <w:lvl w:ilvl="8">
      <w:start w:val="1"/>
      <w:numFmt w:val="lowerRoman"/>
      <w:lvlText w:val="%9."/>
      <w:lvlJc w:val="right"/>
      <w:pPr>
        <w:ind w:left="2824" w:hanging="14"/>
      </w:pPr>
      <w:rPr>
        <w:rFonts w:hint="default"/>
      </w:rPr>
    </w:lvl>
  </w:abstractNum>
  <w:num w:numId="1">
    <w:abstractNumId w:val="4"/>
  </w:num>
  <w:num w:numId="2">
    <w:abstractNumId w:val="9"/>
  </w:num>
  <w:num w:numId="3">
    <w:abstractNumId w:val="0"/>
  </w:num>
  <w:num w:numId="4">
    <w:abstractNumId w:val="3"/>
  </w:num>
  <w:num w:numId="5">
    <w:abstractNumId w:val="4"/>
  </w:num>
  <w:num w:numId="6">
    <w:abstractNumId w:val="9"/>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6"/>
    <w:lvlOverride w:ilvl="0">
      <w:lvl w:ilvl="0">
        <w:start w:val="1"/>
        <w:numFmt w:val="decimal"/>
        <w:lvlText w:val="2.%1"/>
        <w:lvlJc w:val="left"/>
        <w:pPr>
          <w:ind w:left="1440" w:hanging="14"/>
        </w:pPr>
        <w:rPr>
          <w:rFonts w:hint="default"/>
        </w:rPr>
      </w:lvl>
    </w:lvlOverride>
  </w:num>
  <w:num w:numId="18">
    <w:abstractNumId w:val="7"/>
    <w:lvlOverride w:ilvl="0">
      <w:lvl w:ilvl="0">
        <w:start w:val="1"/>
        <w:numFmt w:val="decimal"/>
        <w:lvlText w:val="3.%1"/>
        <w:lvlJc w:val="left"/>
        <w:pPr>
          <w:ind w:left="1440" w:hanging="14"/>
        </w:pPr>
        <w:rPr>
          <w:rFonts w:hint="default"/>
        </w:rPr>
      </w:lvl>
    </w:lvlOverride>
    <w:lvlOverride w:ilvl="1">
      <w:lvl w:ilvl="1">
        <w:start w:val="1"/>
        <w:numFmt w:val="lowerLetter"/>
        <w:lvlText w:val="%2)"/>
        <w:lvlJc w:val="left"/>
        <w:pPr>
          <w:ind w:left="1080" w:firstLine="519"/>
        </w:pPr>
        <w:rPr>
          <w:rFonts w:hint="default"/>
        </w:rPr>
      </w:lvl>
    </w:lvlOverride>
  </w:num>
  <w:num w:numId="19">
    <w:abstractNumId w:val="5"/>
    <w:lvlOverride w:ilvl="0">
      <w:lvl w:ilvl="0">
        <w:start w:val="1"/>
        <w:numFmt w:val="decimal"/>
        <w:lvlText w:val="4.%1"/>
        <w:lvlJc w:val="left"/>
        <w:pPr>
          <w:ind w:left="1440" w:hanging="14"/>
        </w:pPr>
        <w:rPr>
          <w:rFonts w:hint="default"/>
        </w:rPr>
      </w:lvl>
    </w:lvlOverride>
  </w:num>
  <w:num w:numId="20">
    <w:abstractNumId w:val="14"/>
    <w:lvlOverride w:ilvl="0">
      <w:lvl w:ilvl="0" w:tplc="E9C4CCB6">
        <w:start w:val="1"/>
        <w:numFmt w:val="decimal"/>
        <w:lvlText w:val="6.%1"/>
        <w:lvlJc w:val="left"/>
        <w:pPr>
          <w:ind w:left="1425" w:firstLine="43"/>
        </w:pPr>
        <w:rPr>
          <w:rFonts w:hint="default"/>
        </w:rPr>
      </w:lvl>
    </w:lvlOverride>
  </w:num>
  <w:num w:numId="21">
    <w:abstractNumId w:val="13"/>
    <w:lvlOverride w:ilvl="0">
      <w:lvl w:ilvl="0" w:tplc="C3E23D50">
        <w:start w:val="1"/>
        <w:numFmt w:val="decimal"/>
        <w:lvlText w:val="1.%1"/>
        <w:lvlJc w:val="left"/>
        <w:pPr>
          <w:ind w:left="1440" w:hanging="15"/>
        </w:pPr>
        <w:rPr>
          <w:rFonts w:hint="default"/>
        </w:rPr>
      </w:lvl>
    </w:lvlOverride>
  </w:num>
  <w:num w:numId="22">
    <w:abstractNumId w:val="15"/>
  </w:num>
  <w:num w:numId="23">
    <w:abstractNumId w:val="6"/>
  </w:num>
  <w:num w:numId="24">
    <w:abstractNumId w:val="10"/>
  </w:num>
  <w:num w:numId="25">
    <w:abstractNumId w:val="1"/>
  </w:num>
  <w:num w:numId="26">
    <w:abstractNumId w:val="8"/>
  </w:num>
  <w:num w:numId="27">
    <w:abstractNumId w:val="2"/>
  </w:num>
  <w:num w:numId="28">
    <w:abstractNumId w:val="11"/>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6882*"/>
    <w:docVar w:name="CreationDt" w:val="12/10/2018 18:18:37"/>
    <w:docVar w:name="DocCategory" w:val="Doc"/>
    <w:docVar w:name="DocType" w:val="Final"/>
    <w:docVar w:name="DutyStation" w:val="New York"/>
    <w:docVar w:name="FooterJN" w:val="18-16882"/>
    <w:docVar w:name="jobn" w:val="18-16882 (F)"/>
    <w:docVar w:name="jobnDT" w:val="18-16882 (F)   121018"/>
    <w:docVar w:name="jobnDTDT" w:val="18-16882 (F)   121018   121018"/>
    <w:docVar w:name="JobNo" w:val="1816882F"/>
    <w:docVar w:name="JobNo2" w:val="1831522F"/>
    <w:docVar w:name="LocalDrive" w:val="0"/>
    <w:docVar w:name="OandT" w:val="cmd"/>
    <w:docVar w:name="sss1" w:val="ST/SGB/2018/7"/>
    <w:docVar w:name="sss2" w:val="-"/>
    <w:docVar w:name="Symbol1" w:val="ST/SGB/2018/7"/>
    <w:docVar w:name="Symbol2" w:val="-"/>
  </w:docVars>
  <w:rsids>
    <w:rsidRoot w:val="00FF0C90"/>
    <w:rsid w:val="00002584"/>
    <w:rsid w:val="00020CF4"/>
    <w:rsid w:val="00041EFE"/>
    <w:rsid w:val="00071D43"/>
    <w:rsid w:val="00082144"/>
    <w:rsid w:val="00091467"/>
    <w:rsid w:val="00101A4D"/>
    <w:rsid w:val="00101B18"/>
    <w:rsid w:val="00113AB8"/>
    <w:rsid w:val="00122A56"/>
    <w:rsid w:val="001312AE"/>
    <w:rsid w:val="00134FEE"/>
    <w:rsid w:val="00146C6A"/>
    <w:rsid w:val="001515AC"/>
    <w:rsid w:val="00166A0D"/>
    <w:rsid w:val="001A256D"/>
    <w:rsid w:val="001E4B50"/>
    <w:rsid w:val="001F2DAC"/>
    <w:rsid w:val="00204DB4"/>
    <w:rsid w:val="002478A0"/>
    <w:rsid w:val="002671C3"/>
    <w:rsid w:val="002856AF"/>
    <w:rsid w:val="00287D4A"/>
    <w:rsid w:val="002A5E20"/>
    <w:rsid w:val="002E7B9F"/>
    <w:rsid w:val="0030472B"/>
    <w:rsid w:val="00325BFC"/>
    <w:rsid w:val="00330637"/>
    <w:rsid w:val="003419BA"/>
    <w:rsid w:val="00366D21"/>
    <w:rsid w:val="00386A3C"/>
    <w:rsid w:val="003A675A"/>
    <w:rsid w:val="003D7759"/>
    <w:rsid w:val="003E25B5"/>
    <w:rsid w:val="003F61E1"/>
    <w:rsid w:val="00440C93"/>
    <w:rsid w:val="00445104"/>
    <w:rsid w:val="00446863"/>
    <w:rsid w:val="004556C5"/>
    <w:rsid w:val="00480B84"/>
    <w:rsid w:val="00481193"/>
    <w:rsid w:val="004C1A25"/>
    <w:rsid w:val="00515991"/>
    <w:rsid w:val="005225EC"/>
    <w:rsid w:val="00525097"/>
    <w:rsid w:val="00535E82"/>
    <w:rsid w:val="005469DE"/>
    <w:rsid w:val="005509B6"/>
    <w:rsid w:val="005B0113"/>
    <w:rsid w:val="005E1CE6"/>
    <w:rsid w:val="005F0A46"/>
    <w:rsid w:val="005F1F5F"/>
    <w:rsid w:val="00616189"/>
    <w:rsid w:val="00617E7A"/>
    <w:rsid w:val="00690698"/>
    <w:rsid w:val="0069655F"/>
    <w:rsid w:val="006B12EE"/>
    <w:rsid w:val="006E4A4B"/>
    <w:rsid w:val="006E5CFA"/>
    <w:rsid w:val="007164C0"/>
    <w:rsid w:val="007459AE"/>
    <w:rsid w:val="007479C8"/>
    <w:rsid w:val="00751938"/>
    <w:rsid w:val="0075244A"/>
    <w:rsid w:val="007531A5"/>
    <w:rsid w:val="0075362A"/>
    <w:rsid w:val="00771C9E"/>
    <w:rsid w:val="007A62D9"/>
    <w:rsid w:val="008068CD"/>
    <w:rsid w:val="0082045E"/>
    <w:rsid w:val="008222A3"/>
    <w:rsid w:val="00860392"/>
    <w:rsid w:val="00890335"/>
    <w:rsid w:val="00895732"/>
    <w:rsid w:val="008C3CA9"/>
    <w:rsid w:val="008D6823"/>
    <w:rsid w:val="008F49C2"/>
    <w:rsid w:val="009279C4"/>
    <w:rsid w:val="009319BC"/>
    <w:rsid w:val="00935932"/>
    <w:rsid w:val="009561EA"/>
    <w:rsid w:val="00993CB7"/>
    <w:rsid w:val="009965DB"/>
    <w:rsid w:val="009B2ACF"/>
    <w:rsid w:val="009D0EE3"/>
    <w:rsid w:val="009D1546"/>
    <w:rsid w:val="009D660A"/>
    <w:rsid w:val="00A07CAA"/>
    <w:rsid w:val="00A15E47"/>
    <w:rsid w:val="00A2494D"/>
    <w:rsid w:val="00A30559"/>
    <w:rsid w:val="00A556CC"/>
    <w:rsid w:val="00A95FFE"/>
    <w:rsid w:val="00AB0B7D"/>
    <w:rsid w:val="00AD5F2F"/>
    <w:rsid w:val="00AE26E6"/>
    <w:rsid w:val="00B858D5"/>
    <w:rsid w:val="00C3266B"/>
    <w:rsid w:val="00C348A0"/>
    <w:rsid w:val="00CB06FB"/>
    <w:rsid w:val="00CB63C5"/>
    <w:rsid w:val="00CC3922"/>
    <w:rsid w:val="00CD689F"/>
    <w:rsid w:val="00CE0DF6"/>
    <w:rsid w:val="00D30EED"/>
    <w:rsid w:val="00D73915"/>
    <w:rsid w:val="00DB7D32"/>
    <w:rsid w:val="00DC0837"/>
    <w:rsid w:val="00DF1FAD"/>
    <w:rsid w:val="00E010F3"/>
    <w:rsid w:val="00E343A6"/>
    <w:rsid w:val="00E7105F"/>
    <w:rsid w:val="00E85A90"/>
    <w:rsid w:val="00EB2A51"/>
    <w:rsid w:val="00ED7703"/>
    <w:rsid w:val="00EE37EC"/>
    <w:rsid w:val="00EF2DFA"/>
    <w:rsid w:val="00EF493D"/>
    <w:rsid w:val="00F025C8"/>
    <w:rsid w:val="00F275AB"/>
    <w:rsid w:val="00F3446E"/>
    <w:rsid w:val="00F5012D"/>
    <w:rsid w:val="00F55B70"/>
    <w:rsid w:val="00F73093"/>
    <w:rsid w:val="00F85307"/>
    <w:rsid w:val="00FA3D05"/>
    <w:rsid w:val="00FA5CC9"/>
    <w:rsid w:val="00FB0A2C"/>
    <w:rsid w:val="00FC0A40"/>
    <w:rsid w:val="00FC59F1"/>
    <w:rsid w:val="00FD7620"/>
    <w:rsid w:val="00FF0C90"/>
    <w:rsid w:val="00FF6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7AF3F"/>
  <w15:chartTrackingRefBased/>
  <w15:docId w15:val="{F27657A0-FEAE-42B7-9613-125DFAC6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EFE"/>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41EF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1EF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1EF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1EF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1EF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1EF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1EF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1EF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1EF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41EFE"/>
    <w:pPr>
      <w:keepNext/>
      <w:keepLines/>
      <w:suppressAutoHyphens/>
      <w:spacing w:line="270" w:lineRule="exact"/>
      <w:outlineLvl w:val="0"/>
    </w:pPr>
    <w:rPr>
      <w:b/>
      <w:sz w:val="24"/>
    </w:rPr>
  </w:style>
  <w:style w:type="paragraph" w:customStyle="1" w:styleId="HCH">
    <w:name w:val="_ H _CH"/>
    <w:basedOn w:val="H1"/>
    <w:next w:val="SingleTxt"/>
    <w:qFormat/>
    <w:rsid w:val="00041EFE"/>
    <w:pPr>
      <w:spacing w:line="300" w:lineRule="exact"/>
    </w:pPr>
    <w:rPr>
      <w:spacing w:val="-2"/>
      <w:sz w:val="28"/>
    </w:rPr>
  </w:style>
  <w:style w:type="paragraph" w:customStyle="1" w:styleId="HM">
    <w:name w:val="_ H __M"/>
    <w:basedOn w:val="HCH"/>
    <w:next w:val="Normal"/>
    <w:qFormat/>
    <w:rsid w:val="00041EFE"/>
    <w:pPr>
      <w:spacing w:line="360" w:lineRule="exact"/>
    </w:pPr>
    <w:rPr>
      <w:spacing w:val="-3"/>
      <w:w w:val="99"/>
      <w:sz w:val="34"/>
    </w:rPr>
  </w:style>
  <w:style w:type="paragraph" w:customStyle="1" w:styleId="H23">
    <w:name w:val="_ H_2/3"/>
    <w:basedOn w:val="H1"/>
    <w:next w:val="SingleTxt"/>
    <w:qFormat/>
    <w:rsid w:val="00041EFE"/>
    <w:pPr>
      <w:spacing w:line="240" w:lineRule="exact"/>
      <w:outlineLvl w:val="1"/>
    </w:pPr>
    <w:rPr>
      <w:spacing w:val="2"/>
      <w:sz w:val="20"/>
    </w:rPr>
  </w:style>
  <w:style w:type="paragraph" w:customStyle="1" w:styleId="H4">
    <w:name w:val="_ H_4"/>
    <w:basedOn w:val="Normal"/>
    <w:next w:val="Normal"/>
    <w:qFormat/>
    <w:rsid w:val="00041EFE"/>
    <w:pPr>
      <w:keepNext/>
      <w:keepLines/>
      <w:tabs>
        <w:tab w:val="right" w:pos="360"/>
      </w:tabs>
      <w:suppressAutoHyphens/>
      <w:outlineLvl w:val="3"/>
    </w:pPr>
    <w:rPr>
      <w:i/>
      <w:spacing w:val="3"/>
    </w:rPr>
  </w:style>
  <w:style w:type="paragraph" w:customStyle="1" w:styleId="H56">
    <w:name w:val="_ H_5/6"/>
    <w:basedOn w:val="Normal"/>
    <w:next w:val="Normal"/>
    <w:qFormat/>
    <w:rsid w:val="00041E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1E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1E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1EFE"/>
    <w:pPr>
      <w:spacing w:line="540" w:lineRule="exact"/>
    </w:pPr>
    <w:rPr>
      <w:spacing w:val="-8"/>
      <w:w w:val="96"/>
      <w:sz w:val="57"/>
    </w:rPr>
  </w:style>
  <w:style w:type="paragraph" w:customStyle="1" w:styleId="SS">
    <w:name w:val="__S_S"/>
    <w:basedOn w:val="HCH"/>
    <w:next w:val="Normal"/>
    <w:qFormat/>
    <w:rsid w:val="00041EFE"/>
    <w:pPr>
      <w:ind w:left="1267" w:right="1267"/>
    </w:pPr>
  </w:style>
  <w:style w:type="paragraph" w:customStyle="1" w:styleId="SingleTxt">
    <w:name w:val="__Single Txt"/>
    <w:basedOn w:val="Normal"/>
    <w:qFormat/>
    <w:rsid w:val="00041E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1EF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1E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1EF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1E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EF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1EFE"/>
    <w:pPr>
      <w:numPr>
        <w:numId w:val="5"/>
      </w:numPr>
      <w:spacing w:after="120"/>
      <w:ind w:right="1267"/>
      <w:jc w:val="both"/>
    </w:pPr>
  </w:style>
  <w:style w:type="paragraph" w:customStyle="1" w:styleId="Bullet2">
    <w:name w:val="Bullet 2"/>
    <w:basedOn w:val="Normal"/>
    <w:qFormat/>
    <w:rsid w:val="00041EFE"/>
    <w:pPr>
      <w:numPr>
        <w:numId w:val="6"/>
      </w:numPr>
      <w:spacing w:after="120"/>
      <w:ind w:right="1264"/>
      <w:jc w:val="both"/>
    </w:pPr>
  </w:style>
  <w:style w:type="paragraph" w:customStyle="1" w:styleId="Bullet3">
    <w:name w:val="Bullet 3"/>
    <w:basedOn w:val="SingleTxt"/>
    <w:qFormat/>
    <w:rsid w:val="00041EF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1EF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1EFE"/>
    <w:pPr>
      <w:spacing w:line="210" w:lineRule="exact"/>
    </w:pPr>
    <w:rPr>
      <w:sz w:val="17"/>
      <w:szCs w:val="20"/>
    </w:rPr>
  </w:style>
  <w:style w:type="character" w:customStyle="1" w:styleId="EndnoteTextChar">
    <w:name w:val="Endnote Text Char"/>
    <w:link w:val="EndnoteText"/>
    <w:uiPriority w:val="99"/>
    <w:semiHidden/>
    <w:rsid w:val="00041EF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41EF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41EF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41EFE"/>
    <w:pPr>
      <w:spacing w:line="210" w:lineRule="exact"/>
    </w:pPr>
    <w:rPr>
      <w:sz w:val="17"/>
      <w:szCs w:val="20"/>
    </w:rPr>
  </w:style>
  <w:style w:type="character" w:customStyle="1" w:styleId="FootnoteTextChar">
    <w:name w:val="Footnote Text Char"/>
    <w:link w:val="FootnoteText"/>
    <w:uiPriority w:val="99"/>
    <w:rsid w:val="00041EF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41EF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41EF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41EF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41EF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41EF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41EF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41EF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41EF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41EF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41EF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41EF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41EFE"/>
    <w:rPr>
      <w:sz w:val="14"/>
    </w:rPr>
  </w:style>
  <w:style w:type="paragraph" w:styleId="ListParagraph">
    <w:name w:val="List Paragraph"/>
    <w:basedOn w:val="Normal"/>
    <w:uiPriority w:val="34"/>
    <w:rsid w:val="00041EFE"/>
    <w:pPr>
      <w:ind w:left="720"/>
      <w:contextualSpacing/>
    </w:pPr>
  </w:style>
  <w:style w:type="paragraph" w:styleId="NoSpacing">
    <w:name w:val="No Spacing"/>
    <w:uiPriority w:val="1"/>
    <w:rsid w:val="00041EF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1EF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1EFE"/>
    <w:pPr>
      <w:tabs>
        <w:tab w:val="right" w:pos="9965"/>
      </w:tabs>
      <w:spacing w:line="210" w:lineRule="exact"/>
    </w:pPr>
    <w:rPr>
      <w:spacing w:val="5"/>
      <w:w w:val="104"/>
      <w:sz w:val="17"/>
    </w:rPr>
  </w:style>
  <w:style w:type="paragraph" w:customStyle="1" w:styleId="SmallX">
    <w:name w:val="SmallX"/>
    <w:basedOn w:val="Small"/>
    <w:next w:val="Normal"/>
    <w:qFormat/>
    <w:rsid w:val="00041EFE"/>
    <w:pPr>
      <w:spacing w:line="180" w:lineRule="exact"/>
      <w:jc w:val="right"/>
    </w:pPr>
    <w:rPr>
      <w:spacing w:val="6"/>
      <w:w w:val="106"/>
      <w:sz w:val="14"/>
    </w:rPr>
  </w:style>
  <w:style w:type="character" w:styleId="Strong">
    <w:name w:val="Strong"/>
    <w:uiPriority w:val="22"/>
    <w:rsid w:val="00041EFE"/>
    <w:rPr>
      <w:b/>
      <w:bCs/>
    </w:rPr>
  </w:style>
  <w:style w:type="paragraph" w:customStyle="1" w:styleId="Style1">
    <w:name w:val="Style1"/>
    <w:basedOn w:val="Normal"/>
    <w:qFormat/>
    <w:rsid w:val="00041EFE"/>
  </w:style>
  <w:style w:type="paragraph" w:customStyle="1" w:styleId="Style2">
    <w:name w:val="Style2"/>
    <w:basedOn w:val="Normal"/>
    <w:autoRedefine/>
    <w:qFormat/>
    <w:rsid w:val="00041EFE"/>
  </w:style>
  <w:style w:type="paragraph" w:customStyle="1" w:styleId="TitleHCH">
    <w:name w:val="Title_H_CH"/>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1EFE"/>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87D4A"/>
    <w:rPr>
      <w:sz w:val="16"/>
      <w:szCs w:val="16"/>
    </w:rPr>
  </w:style>
  <w:style w:type="paragraph" w:styleId="CommentText">
    <w:name w:val="annotation text"/>
    <w:basedOn w:val="Normal"/>
    <w:link w:val="CommentTextChar"/>
    <w:uiPriority w:val="99"/>
    <w:semiHidden/>
    <w:unhideWhenUsed/>
    <w:rsid w:val="00287D4A"/>
    <w:pPr>
      <w:spacing w:line="240" w:lineRule="auto"/>
    </w:pPr>
    <w:rPr>
      <w:szCs w:val="20"/>
    </w:rPr>
  </w:style>
  <w:style w:type="character" w:customStyle="1" w:styleId="CommentTextChar">
    <w:name w:val="Comment Text Char"/>
    <w:basedOn w:val="DefaultParagraphFont"/>
    <w:link w:val="CommentText"/>
    <w:uiPriority w:val="99"/>
    <w:semiHidden/>
    <w:rsid w:val="00287D4A"/>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287D4A"/>
    <w:rPr>
      <w:b/>
      <w:bCs/>
    </w:rPr>
  </w:style>
  <w:style w:type="character" w:customStyle="1" w:styleId="CommentSubjectChar">
    <w:name w:val="Comment Subject Char"/>
    <w:basedOn w:val="CommentTextChar"/>
    <w:link w:val="CommentSubject"/>
    <w:uiPriority w:val="99"/>
    <w:semiHidden/>
    <w:rsid w:val="00287D4A"/>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7164C0"/>
    <w:rPr>
      <w:color w:val="0000FF" w:themeColor="hyperlink"/>
      <w:u w:val="none"/>
    </w:rPr>
  </w:style>
  <w:style w:type="character" w:styleId="FollowedHyperlink">
    <w:name w:val="FollowedHyperlink"/>
    <w:basedOn w:val="DefaultParagraphFont"/>
    <w:uiPriority w:val="99"/>
    <w:semiHidden/>
    <w:unhideWhenUsed/>
    <w:rsid w:val="007164C0"/>
    <w:rPr>
      <w:color w:val="0000FF"/>
      <w:u w:val="none"/>
    </w:rPr>
  </w:style>
  <w:style w:type="character" w:styleId="UnresolvedMention">
    <w:name w:val="Unresolved Mention"/>
    <w:basedOn w:val="DefaultParagraphFont"/>
    <w:uiPriority w:val="99"/>
    <w:semiHidden/>
    <w:unhideWhenUsed/>
    <w:rsid w:val="007164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T/SGB/2002/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mergency.un.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88E6-C264-4694-9C2B-2859A0F7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Diana Guiu</cp:lastModifiedBy>
  <cp:revision>2</cp:revision>
  <cp:lastPrinted>2018-10-15T15:11:00Z</cp:lastPrinted>
  <dcterms:created xsi:type="dcterms:W3CDTF">2018-10-18T14:14:00Z</dcterms:created>
  <dcterms:modified xsi:type="dcterms:W3CDTF">2018-10-18T14:14:00Z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1816882F</vt:lpwstr>
  </property>
  <property fmtid="{D5CDD505-2E9C-101B-9397-08002B2CF9AE}" pid="3" name="ODSRefJobNo">
    <vt:lpwstr>1831522F</vt:lpwstr>
  </property>
  <property fmtid="{D5CDD505-2E9C-101B-9397-08002B2CF9AE}" pid="4" name="Symbol1">
    <vt:lpwstr>ST/SGB/2018/7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Attente de nouvelles corr. éd: toutes les corr éd arrivées après soumission du draft</vt:lpwstr>
  </property>
  <property fmtid="{D5CDD505-2E9C-101B-9397-08002B2CF9AE}" pid="10" name="DraftPages">
    <vt:lpwstr> </vt:lpwstr>
  </property>
  <property fmtid="{D5CDD505-2E9C-101B-9397-08002B2CF9AE}" pid="11" name="Operator">
    <vt:lpwstr>cmd</vt:lpwstr>
  </property>
  <property fmtid="{D5CDD505-2E9C-101B-9397-08002B2CF9AE}" pid="12" name="Publication Date">
    <vt:lpwstr>8 octobre 2018</vt:lpwstr>
  </property>
  <property fmtid="{D5CDD505-2E9C-101B-9397-08002B2CF9AE}" pid="13" name="Release Date">
    <vt:lpwstr>121018</vt:lpwstr>
  </property>
  <property fmtid="{D5CDD505-2E9C-101B-9397-08002B2CF9AE}" pid="14" name="Title1">
    <vt:lpwstr>		Circulaire du Secrétaire général_x000d_</vt:lpwstr>
  </property>
  <property fmtid="{D5CDD505-2E9C-101B-9397-08002B2CF9AE}" pid="15" name="Title2">
    <vt:lpwstr>		Procédures applicables en cas d’évacuation du complexe de l’Organisation des Nations Unies à New York_x000d_</vt:lpwstr>
  </property>
</Properties>
</file>