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7A3248" w14:textId="77777777" w:rsidR="00704537" w:rsidRDefault="00704537" w:rsidP="00704537">
      <w:pPr>
        <w:spacing w:line="240" w:lineRule="auto"/>
        <w:rPr>
          <w:sz w:val="2"/>
        </w:rPr>
        <w:sectPr w:rsidR="00704537" w:rsidSect="00A8462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200" w:bottom="1728" w:left="1200" w:header="432" w:footer="576" w:gutter="0"/>
          <w:cols w:space="720"/>
          <w:titlePg/>
          <w:docGrid w:linePitch="360"/>
        </w:sectPr>
      </w:pPr>
      <w:bookmarkStart w:id="0" w:name="_GoBack"/>
      <w:bookmarkEnd w:id="0"/>
    </w:p>
    <w:p w14:paraId="3E73D99E" w14:textId="3816E190" w:rsidR="00536B5A" w:rsidRPr="00536B5A" w:rsidRDefault="009531A6" w:rsidP="009531A6">
      <w:pPr>
        <w:pStyle w:val="TitleHCH"/>
        <w:rPr>
          <w:lang w:val="fr-FR"/>
        </w:rPr>
      </w:pPr>
      <w:r>
        <w:rPr>
          <w:lang w:val="fr-FR"/>
        </w:rPr>
        <w:tab/>
      </w:r>
      <w:r w:rsidR="00536B5A" w:rsidRPr="00536B5A">
        <w:rPr>
          <w:lang w:val="fr-FR"/>
        </w:rPr>
        <w:tab/>
        <w:t>Circulaire du Secrétaire général</w:t>
      </w:r>
    </w:p>
    <w:p w14:paraId="7D706A05" w14:textId="60D82FB8" w:rsidR="00536B5A" w:rsidRPr="009531A6" w:rsidRDefault="00536B5A" w:rsidP="009531A6">
      <w:pPr>
        <w:pStyle w:val="SingleTxt"/>
        <w:spacing w:after="0" w:line="120" w:lineRule="exact"/>
        <w:rPr>
          <w:sz w:val="10"/>
          <w:lang w:val="fr-FR"/>
        </w:rPr>
      </w:pPr>
    </w:p>
    <w:p w14:paraId="60ABA0F3" w14:textId="334A74D4" w:rsidR="009531A6" w:rsidRPr="009531A6" w:rsidRDefault="009531A6" w:rsidP="009531A6">
      <w:pPr>
        <w:pStyle w:val="SingleTxt"/>
        <w:spacing w:after="0" w:line="120" w:lineRule="exact"/>
        <w:rPr>
          <w:sz w:val="10"/>
          <w:lang w:val="fr-FR"/>
        </w:rPr>
      </w:pPr>
    </w:p>
    <w:p w14:paraId="0C451DCE" w14:textId="77777777" w:rsidR="00536B5A" w:rsidRPr="00536B5A" w:rsidRDefault="00536B5A" w:rsidP="009531A6">
      <w:pPr>
        <w:pStyle w:val="TitleH1"/>
        <w:rPr>
          <w:lang w:val="fr-FR"/>
        </w:rPr>
      </w:pPr>
      <w:bookmarkStart w:id="1" w:name="bookmark_8"/>
      <w:r w:rsidRPr="00536B5A">
        <w:rPr>
          <w:lang w:val="fr-FR"/>
        </w:rPr>
        <w:tab/>
      </w:r>
      <w:r w:rsidRPr="00536B5A">
        <w:rPr>
          <w:lang w:val="fr-FR"/>
        </w:rPr>
        <w:tab/>
        <w:t>Abolition de circulaires du Secrétaire général obsolètes</w:t>
      </w:r>
      <w:bookmarkEnd w:id="1"/>
    </w:p>
    <w:p w14:paraId="529515D7" w14:textId="448AC46E" w:rsidR="00536B5A" w:rsidRPr="009531A6" w:rsidRDefault="00536B5A" w:rsidP="009531A6">
      <w:pPr>
        <w:pStyle w:val="SingleTxt"/>
        <w:spacing w:after="0" w:line="120" w:lineRule="exact"/>
        <w:rPr>
          <w:sz w:val="10"/>
          <w:lang w:val="fr-FR"/>
        </w:rPr>
      </w:pPr>
    </w:p>
    <w:p w14:paraId="1A9E8648" w14:textId="2490AB4D" w:rsidR="009531A6" w:rsidRPr="009531A6" w:rsidRDefault="009531A6" w:rsidP="009531A6">
      <w:pPr>
        <w:pStyle w:val="SingleTxt"/>
        <w:spacing w:after="0" w:line="120" w:lineRule="exact"/>
        <w:rPr>
          <w:sz w:val="10"/>
          <w:lang w:val="fr-FR"/>
        </w:rPr>
      </w:pPr>
    </w:p>
    <w:p w14:paraId="429A655C" w14:textId="03778241" w:rsidR="00536B5A" w:rsidRPr="009531A6" w:rsidRDefault="00536B5A" w:rsidP="009531A6">
      <w:pPr>
        <w:pStyle w:val="SingleTxt"/>
        <w:rPr>
          <w:lang w:val="fr-FR"/>
        </w:rPr>
      </w:pPr>
      <w:bookmarkStart w:id="2" w:name="bookmark_9"/>
      <w:r w:rsidRPr="00536B5A">
        <w:rPr>
          <w:lang w:val="fr-FR"/>
        </w:rPr>
        <w:tab/>
        <w:t xml:space="preserve">Afin </w:t>
      </w:r>
      <w:r w:rsidRPr="009531A6">
        <w:rPr>
          <w:lang w:val="fr-FR"/>
        </w:rPr>
        <w:t>d</w:t>
      </w:r>
      <w:r w:rsidR="008C247B">
        <w:rPr>
          <w:lang w:val="fr-FR"/>
        </w:rPr>
        <w:t>’</w:t>
      </w:r>
      <w:r w:rsidRPr="009531A6">
        <w:rPr>
          <w:lang w:val="fr-FR"/>
        </w:rPr>
        <w:t>abolir ses circulaires contenant des règles et des dispositions qui ne sont plus applicables en raison d</w:t>
      </w:r>
      <w:r w:rsidR="008C247B">
        <w:rPr>
          <w:lang w:val="fr-FR"/>
        </w:rPr>
        <w:t>’</w:t>
      </w:r>
      <w:r w:rsidRPr="009531A6">
        <w:rPr>
          <w:lang w:val="fr-FR"/>
        </w:rPr>
        <w:t>un changement de circonstances ou qui ont été incorporées dans de nouvelles circulaires ou remplacées par celles-ci, et dans le but de rationaliser les règles de l</w:t>
      </w:r>
      <w:r w:rsidR="008C247B">
        <w:rPr>
          <w:lang w:val="fr-FR"/>
        </w:rPr>
        <w:t>’</w:t>
      </w:r>
      <w:r w:rsidRPr="009531A6">
        <w:rPr>
          <w:lang w:val="fr-FR"/>
        </w:rPr>
        <w:t>Organisation, le Secrétaire général promulgue ce qui</w:t>
      </w:r>
      <w:r w:rsidR="0096149B">
        <w:rPr>
          <w:lang w:val="fr-FR"/>
        </w:rPr>
        <w:t xml:space="preserve"> suit</w:t>
      </w:r>
      <w:r w:rsidR="009531A6" w:rsidRPr="009531A6">
        <w:rPr>
          <w:lang w:val="fr-FR"/>
        </w:rPr>
        <w:t> </w:t>
      </w:r>
      <w:r w:rsidRPr="009531A6">
        <w:rPr>
          <w:lang w:val="fr-FR"/>
        </w:rPr>
        <w:t>:</w:t>
      </w:r>
      <w:bookmarkEnd w:id="2"/>
    </w:p>
    <w:p w14:paraId="382F6113" w14:textId="40CF4DAB" w:rsidR="00536B5A" w:rsidRPr="009531A6" w:rsidRDefault="00536B5A" w:rsidP="009531A6">
      <w:pPr>
        <w:pStyle w:val="SingleTxt"/>
        <w:spacing w:after="0" w:line="120" w:lineRule="exact"/>
        <w:rPr>
          <w:sz w:val="10"/>
          <w:lang w:val="fr-FR"/>
        </w:rPr>
      </w:pPr>
    </w:p>
    <w:p w14:paraId="3A38E7C9" w14:textId="7E26F018" w:rsidR="00536B5A" w:rsidRPr="00536B5A" w:rsidRDefault="00536B5A" w:rsidP="009531A6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fr-FR"/>
        </w:rPr>
      </w:pPr>
      <w:bookmarkStart w:id="3" w:name="bookmark_10"/>
      <w:r w:rsidRPr="00536B5A">
        <w:rPr>
          <w:lang w:val="fr-FR"/>
        </w:rPr>
        <w:tab/>
      </w:r>
      <w:r w:rsidRPr="00536B5A">
        <w:rPr>
          <w:lang w:val="fr-FR"/>
        </w:rPr>
        <w:tab/>
        <w:t xml:space="preserve">Section 1 </w:t>
      </w:r>
      <w:r w:rsidR="009531A6">
        <w:rPr>
          <w:lang w:val="fr-FR"/>
        </w:rPr>
        <w:br/>
      </w:r>
      <w:r w:rsidRPr="00536B5A">
        <w:rPr>
          <w:lang w:val="fr-FR"/>
        </w:rPr>
        <w:t>Circulaires du Secrétaire général</w:t>
      </w:r>
      <w:bookmarkEnd w:id="3"/>
    </w:p>
    <w:p w14:paraId="3420CB95" w14:textId="2BBF1457" w:rsidR="00536B5A" w:rsidRPr="009531A6" w:rsidRDefault="00536B5A" w:rsidP="009531A6">
      <w:pPr>
        <w:pStyle w:val="SingleTxt"/>
        <w:spacing w:after="0" w:line="120" w:lineRule="exact"/>
        <w:rPr>
          <w:sz w:val="10"/>
          <w:lang w:val="fr-FR"/>
        </w:rPr>
      </w:pPr>
    </w:p>
    <w:p w14:paraId="692EEA7E" w14:textId="47462F13" w:rsidR="00536B5A" w:rsidRPr="00536B5A" w:rsidRDefault="00536B5A" w:rsidP="00536B5A">
      <w:pPr>
        <w:pStyle w:val="SingleTxt"/>
        <w:rPr>
          <w:lang w:val="fr-FR"/>
        </w:rPr>
      </w:pPr>
      <w:bookmarkStart w:id="4" w:name="bookmark_11"/>
      <w:r w:rsidRPr="00536B5A">
        <w:rPr>
          <w:lang w:val="fr-FR"/>
        </w:rPr>
        <w:tab/>
        <w:t>Les circulaires ci-après sont abolies par la présente</w:t>
      </w:r>
      <w:r w:rsidRPr="00AF7BBE">
        <w:rPr>
          <w:vertAlign w:val="superscript"/>
          <w:lang w:val="fr-FR"/>
        </w:rPr>
        <w:footnoteReference w:id="1"/>
      </w:r>
      <w:r w:rsidR="009531A6">
        <w:rPr>
          <w:lang w:val="fr-FR"/>
        </w:rPr>
        <w:t> </w:t>
      </w:r>
      <w:r w:rsidRPr="00536B5A">
        <w:rPr>
          <w:lang w:val="fr-FR"/>
        </w:rPr>
        <w:t>:</w:t>
      </w:r>
      <w:bookmarkEnd w:id="4"/>
    </w:p>
    <w:p w14:paraId="47E6DC08" w14:textId="1464E3D6" w:rsidR="00536B5A" w:rsidRPr="00536B5A" w:rsidRDefault="00AF2BD6" w:rsidP="009531A6">
      <w:pPr>
        <w:pStyle w:val="SingleTxt"/>
        <w:rPr>
          <w:lang w:val="fr-FR"/>
        </w:rPr>
      </w:pPr>
      <w:bookmarkStart w:id="6" w:name="bookmark_13"/>
      <w:r>
        <w:rPr>
          <w:lang w:val="fr-FR"/>
        </w:rPr>
        <w:tab/>
        <w:t>a)</w:t>
      </w:r>
      <w:r>
        <w:rPr>
          <w:lang w:val="fr-FR"/>
        </w:rPr>
        <w:tab/>
      </w:r>
      <w:hyperlink r:id="rId13" w:history="1">
        <w:r w:rsidR="00536B5A" w:rsidRPr="00B57088">
          <w:rPr>
            <w:rStyle w:val="Hyperlink"/>
            <w:lang w:val="fr-FR"/>
          </w:rPr>
          <w:t>ST/SGB/230</w:t>
        </w:r>
      </w:hyperlink>
      <w:r w:rsidR="00536B5A" w:rsidRPr="00536B5A">
        <w:rPr>
          <w:lang w:val="fr-FR"/>
        </w:rPr>
        <w:t xml:space="preserve"> du 8 mars 1989</w:t>
      </w:r>
      <w:r w:rsidR="008C247B">
        <w:rPr>
          <w:lang w:val="fr-FR"/>
        </w:rPr>
        <w:t xml:space="preserve"> : </w:t>
      </w:r>
      <w:r w:rsidR="00536B5A" w:rsidRPr="00536B5A">
        <w:rPr>
          <w:lang w:val="fr-FR"/>
        </w:rPr>
        <w:t>« Resolution of tort claims » (en anglais seulement</w:t>
      </w:r>
      <w:bookmarkEnd w:id="6"/>
      <w:r w:rsidR="00536B5A" w:rsidRPr="00536B5A">
        <w:rPr>
          <w:lang w:val="fr-FR"/>
        </w:rPr>
        <w:t>)</w:t>
      </w:r>
      <w:r w:rsidR="008C247B">
        <w:rPr>
          <w:lang w:val="fr-FR"/>
        </w:rPr>
        <w:t xml:space="preserve"> ; </w:t>
      </w:r>
    </w:p>
    <w:p w14:paraId="7E940D32" w14:textId="13B694C3" w:rsidR="00536B5A" w:rsidRPr="00536B5A" w:rsidRDefault="00AF2BD6" w:rsidP="009531A6">
      <w:pPr>
        <w:pStyle w:val="SingleTxt"/>
        <w:rPr>
          <w:lang w:val="fr-FR"/>
        </w:rPr>
      </w:pPr>
      <w:bookmarkStart w:id="7" w:name="bookmark_14"/>
      <w:r>
        <w:rPr>
          <w:lang w:val="fr-FR"/>
        </w:rPr>
        <w:tab/>
        <w:t>b)</w:t>
      </w:r>
      <w:r>
        <w:rPr>
          <w:lang w:val="fr-FR"/>
        </w:rPr>
        <w:tab/>
      </w:r>
      <w:hyperlink r:id="rId14" w:history="1">
        <w:r w:rsidR="00536B5A" w:rsidRPr="00B57088">
          <w:rPr>
            <w:rStyle w:val="Hyperlink"/>
            <w:lang w:val="fr-FR"/>
          </w:rPr>
          <w:t>ST/SGB/242</w:t>
        </w:r>
      </w:hyperlink>
      <w:r w:rsidR="00536B5A" w:rsidRPr="00536B5A">
        <w:rPr>
          <w:lang w:val="fr-FR"/>
        </w:rPr>
        <w:t xml:space="preserve"> du 26 juin 1991</w:t>
      </w:r>
      <w:r w:rsidR="008C247B">
        <w:rPr>
          <w:lang w:val="fr-FR"/>
        </w:rPr>
        <w:t xml:space="preserve"> : </w:t>
      </w:r>
      <w:r w:rsidR="00536B5A" w:rsidRPr="00536B5A">
        <w:rPr>
          <w:lang w:val="fr-FR"/>
        </w:rPr>
        <w:t>« United Nations Archives and Records Management » (en anglais seulement</w:t>
      </w:r>
      <w:bookmarkEnd w:id="7"/>
      <w:r w:rsidR="00536B5A" w:rsidRPr="00536B5A">
        <w:rPr>
          <w:lang w:val="fr-FR"/>
        </w:rPr>
        <w:t>)</w:t>
      </w:r>
      <w:r w:rsidR="008C247B">
        <w:rPr>
          <w:lang w:val="fr-FR"/>
        </w:rPr>
        <w:t xml:space="preserve"> ; </w:t>
      </w:r>
    </w:p>
    <w:p w14:paraId="10CB45C1" w14:textId="4BAFC30D" w:rsidR="00536B5A" w:rsidRPr="00536B5A" w:rsidRDefault="00AF2BD6" w:rsidP="009531A6">
      <w:pPr>
        <w:pStyle w:val="SingleTxt"/>
        <w:rPr>
          <w:lang w:val="fr-FR"/>
        </w:rPr>
      </w:pPr>
      <w:bookmarkStart w:id="8" w:name="bookmark_15"/>
      <w:r>
        <w:rPr>
          <w:lang w:val="fr-FR"/>
        </w:rPr>
        <w:tab/>
        <w:t>c)</w:t>
      </w:r>
      <w:r>
        <w:rPr>
          <w:lang w:val="fr-FR"/>
        </w:rPr>
        <w:tab/>
      </w:r>
      <w:hyperlink r:id="rId15" w:history="1">
        <w:r w:rsidR="00536B5A" w:rsidRPr="00B57088">
          <w:rPr>
            <w:rStyle w:val="Hyperlink"/>
            <w:lang w:val="fr-FR"/>
          </w:rPr>
          <w:t>ST/SGB/259</w:t>
        </w:r>
      </w:hyperlink>
      <w:r w:rsidR="00536B5A" w:rsidRPr="00536B5A">
        <w:rPr>
          <w:lang w:val="fr-FR"/>
        </w:rPr>
        <w:t xml:space="preserve"> du 2 juillet 1993</w:t>
      </w:r>
      <w:r w:rsidR="008C247B">
        <w:rPr>
          <w:lang w:val="fr-FR"/>
        </w:rPr>
        <w:t xml:space="preserve"> : </w:t>
      </w:r>
      <w:r w:rsidR="00536B5A" w:rsidRPr="00536B5A">
        <w:rPr>
          <w:lang w:val="fr-FR"/>
        </w:rPr>
        <w:t>« Port de la carte d</w:t>
      </w:r>
      <w:r w:rsidR="008C247B">
        <w:rPr>
          <w:lang w:val="fr-FR"/>
        </w:rPr>
        <w:t>’</w:t>
      </w:r>
      <w:r w:rsidR="00536B5A" w:rsidRPr="00536B5A">
        <w:rPr>
          <w:lang w:val="fr-FR"/>
        </w:rPr>
        <w:t>identité ONU »</w:t>
      </w:r>
      <w:r w:rsidR="00536B5A" w:rsidRPr="00AF7BBE">
        <w:rPr>
          <w:vertAlign w:val="superscript"/>
          <w:lang w:val="fr-FR"/>
        </w:rPr>
        <w:footnoteReference w:id="2"/>
      </w:r>
      <w:r w:rsidR="00536B5A" w:rsidRPr="00536B5A">
        <w:rPr>
          <w:lang w:val="fr-FR"/>
        </w:rPr>
        <w:t>;</w:t>
      </w:r>
      <w:bookmarkEnd w:id="8"/>
    </w:p>
    <w:p w14:paraId="613FCA10" w14:textId="07F0CAC3" w:rsidR="00536B5A" w:rsidRPr="00536B5A" w:rsidRDefault="00AF2BD6" w:rsidP="009531A6">
      <w:pPr>
        <w:pStyle w:val="SingleTxt"/>
        <w:rPr>
          <w:lang w:val="fr-FR"/>
        </w:rPr>
      </w:pPr>
      <w:bookmarkStart w:id="10" w:name="bookmark_17"/>
      <w:r>
        <w:rPr>
          <w:lang w:val="fr-FR"/>
        </w:rPr>
        <w:tab/>
        <w:t>d)</w:t>
      </w:r>
      <w:r>
        <w:rPr>
          <w:lang w:val="fr-FR"/>
        </w:rPr>
        <w:tab/>
      </w:r>
      <w:hyperlink r:id="rId16" w:history="1">
        <w:r w:rsidR="00536B5A" w:rsidRPr="00B57088">
          <w:rPr>
            <w:rStyle w:val="Hyperlink"/>
            <w:lang w:val="fr-FR"/>
          </w:rPr>
          <w:t>ST/SGB/267</w:t>
        </w:r>
      </w:hyperlink>
      <w:r w:rsidR="00536B5A" w:rsidRPr="00536B5A">
        <w:rPr>
          <w:lang w:val="fr-FR"/>
        </w:rPr>
        <w:t xml:space="preserve"> du 15 novembre 1993</w:t>
      </w:r>
      <w:r w:rsidR="008C247B">
        <w:rPr>
          <w:lang w:val="fr-FR"/>
        </w:rPr>
        <w:t xml:space="preserve"> : </w:t>
      </w:r>
      <w:r w:rsidR="00536B5A" w:rsidRPr="00536B5A">
        <w:rPr>
          <w:lang w:val="fr-FR"/>
        </w:rPr>
        <w:t>« Affectations et promotions </w:t>
      </w:r>
      <w:bookmarkEnd w:id="10"/>
      <w:r w:rsidR="00536B5A" w:rsidRPr="00536B5A">
        <w:rPr>
          <w:lang w:val="fr-FR"/>
        </w:rPr>
        <w:t>»</w:t>
      </w:r>
      <w:r w:rsidR="008C247B">
        <w:rPr>
          <w:lang w:val="fr-FR"/>
        </w:rPr>
        <w:t xml:space="preserve"> ; </w:t>
      </w:r>
    </w:p>
    <w:p w14:paraId="6737B68E" w14:textId="4EBC0F95" w:rsidR="00536B5A" w:rsidRPr="00536B5A" w:rsidRDefault="00AF2BD6" w:rsidP="009531A6">
      <w:pPr>
        <w:pStyle w:val="SingleTxt"/>
        <w:rPr>
          <w:lang w:val="fr-FR"/>
        </w:rPr>
      </w:pPr>
      <w:r w:rsidRPr="008C247B">
        <w:rPr>
          <w:lang w:val="fr-FR"/>
        </w:rPr>
        <w:tab/>
      </w:r>
      <w:r w:rsidRPr="00AF2BD6">
        <w:rPr>
          <w:lang w:val="fr-FR"/>
        </w:rPr>
        <w:t>e)</w:t>
      </w:r>
      <w:r w:rsidRPr="00AF2BD6">
        <w:rPr>
          <w:lang w:val="fr-FR"/>
        </w:rPr>
        <w:tab/>
      </w:r>
      <w:hyperlink r:id="rId17" w:history="1">
        <w:bookmarkStart w:id="11" w:name="bookmark_18"/>
        <w:r w:rsidR="00536B5A" w:rsidRPr="00536B5A">
          <w:rPr>
            <w:rStyle w:val="Hyperlink"/>
            <w:lang w:val="fr-FR"/>
          </w:rPr>
          <w:t>ST/SGB/269 du 10 janvier 1994</w:t>
        </w:r>
        <w:r w:rsidR="008C247B">
          <w:rPr>
            <w:rStyle w:val="Hyperlink"/>
            <w:lang w:val="fr-FR"/>
          </w:rPr>
          <w:t xml:space="preserve"> : </w:t>
        </w:r>
        <w:r w:rsidR="00536B5A" w:rsidRPr="00536B5A">
          <w:rPr>
            <w:rStyle w:val="Hyperlink"/>
            <w:lang w:val="fr-FR"/>
          </w:rPr>
          <w:t>« </w:t>
        </w:r>
        <w:r w:rsidR="0002064F">
          <w:rPr>
            <w:rStyle w:val="Hyperlink"/>
            <w:lang w:val="fr-FR"/>
          </w:rPr>
          <w:t>Télécommunications –</w:t>
        </w:r>
        <w:r w:rsidR="00536B5A" w:rsidRPr="00536B5A">
          <w:rPr>
            <w:rStyle w:val="Hyperlink"/>
            <w:lang w:val="fr-FR"/>
          </w:rPr>
          <w:t xml:space="preserve"> Matériel de sécurité »</w:t>
        </w:r>
        <w:r w:rsidR="008C247B">
          <w:rPr>
            <w:rStyle w:val="Hyperlink"/>
            <w:lang w:val="fr-FR"/>
          </w:rPr>
          <w:t xml:space="preserve"> ; </w:t>
        </w:r>
      </w:hyperlink>
      <w:bookmarkEnd w:id="11"/>
    </w:p>
    <w:p w14:paraId="5F635142" w14:textId="1ACCAAA4" w:rsidR="00536B5A" w:rsidRPr="00536B5A" w:rsidRDefault="00AF2BD6" w:rsidP="009531A6">
      <w:pPr>
        <w:pStyle w:val="SingleTxt"/>
        <w:rPr>
          <w:lang w:val="en-GB"/>
        </w:rPr>
      </w:pPr>
      <w:r w:rsidRPr="008C247B">
        <w:rPr>
          <w:lang w:val="fr-FR"/>
        </w:rPr>
        <w:tab/>
      </w:r>
      <w:r>
        <w:rPr>
          <w:lang w:val="en-GB"/>
        </w:rPr>
        <w:t>f)</w:t>
      </w:r>
      <w:r>
        <w:rPr>
          <w:lang w:val="en-GB"/>
        </w:rPr>
        <w:tab/>
      </w:r>
      <w:hyperlink r:id="rId18" w:history="1">
        <w:bookmarkStart w:id="12" w:name="bookmark_19"/>
        <w:r w:rsidR="00B57088">
          <w:rPr>
            <w:rStyle w:val="Hyperlink"/>
            <w:lang w:val="en-GB"/>
          </w:rPr>
          <w:t>ST/SGB/276 du 27 avril 1995</w:t>
        </w:r>
        <w:r w:rsidR="0002064F">
          <w:rPr>
            <w:rStyle w:val="Hyperlink"/>
            <w:lang w:val="en-GB"/>
          </w:rPr>
          <w:t> </w:t>
        </w:r>
        <w:r w:rsidR="00B57088">
          <w:rPr>
            <w:rStyle w:val="Hyperlink"/>
            <w:lang w:val="en-GB"/>
          </w:rPr>
          <w:t xml:space="preserve">: </w:t>
        </w:r>
        <w:r w:rsidR="00B57088" w:rsidRPr="00B57088">
          <w:rPr>
            <w:rStyle w:val="Hyperlink"/>
            <w:lang w:val="en-GB"/>
          </w:rPr>
          <w:t>« </w:t>
        </w:r>
        <w:r w:rsidR="00536B5A" w:rsidRPr="00536B5A">
          <w:rPr>
            <w:rStyle w:val="Hyperlink"/>
            <w:lang w:val="en-GB"/>
          </w:rPr>
          <w:t>Integrated management information system:</w:t>
        </w:r>
        <w:r w:rsidR="008C247B">
          <w:rPr>
            <w:rStyle w:val="Hyperlink"/>
            <w:lang w:val="en-GB"/>
          </w:rPr>
          <w:t xml:space="preserve"> </w:t>
        </w:r>
        <w:r w:rsidR="00536B5A" w:rsidRPr="00536B5A">
          <w:rPr>
            <w:rStyle w:val="Hyperlink"/>
            <w:lang w:val="en-GB"/>
          </w:rPr>
          <w:t xml:space="preserve">Definition of responsibility for the implementation and operation of the system and terms of reference of the steering </w:t>
        </w:r>
        <w:r w:rsidR="00536B5A" w:rsidRPr="0002064F">
          <w:rPr>
            <w:rStyle w:val="Hyperlink"/>
            <w:lang w:val="en-GB"/>
          </w:rPr>
          <w:t>committee</w:t>
        </w:r>
        <w:r w:rsidR="00B57088" w:rsidRPr="00B57088">
          <w:rPr>
            <w:rStyle w:val="Hyperlink"/>
            <w:lang w:val="en-GB"/>
          </w:rPr>
          <w:t> »</w:t>
        </w:r>
        <w:r w:rsidR="00B57088" w:rsidRPr="0002064F">
          <w:rPr>
            <w:rStyle w:val="Hyperlink"/>
            <w:lang w:val="en-GB"/>
          </w:rPr>
          <w:t xml:space="preserve"> </w:t>
        </w:r>
        <w:r w:rsidR="00536B5A" w:rsidRPr="0002064F">
          <w:rPr>
            <w:rStyle w:val="Hyperlink"/>
            <w:lang w:val="en-GB"/>
          </w:rPr>
          <w:t>(en</w:t>
        </w:r>
        <w:r w:rsidR="00536B5A" w:rsidRPr="00536B5A">
          <w:rPr>
            <w:rStyle w:val="Hyperlink"/>
            <w:lang w:val="en-GB"/>
          </w:rPr>
          <w:t xml:space="preserve"> anglais seulement)</w:t>
        </w:r>
        <w:r w:rsidR="0096149B">
          <w:rPr>
            <w:rStyle w:val="Hyperlink"/>
            <w:lang w:val="en-GB"/>
          </w:rPr>
          <w:t> </w:t>
        </w:r>
        <w:r w:rsidR="00536B5A" w:rsidRPr="00536B5A">
          <w:rPr>
            <w:rStyle w:val="Hyperlink"/>
            <w:lang w:val="en-GB"/>
          </w:rPr>
          <w:t>;</w:t>
        </w:r>
      </w:hyperlink>
      <w:bookmarkEnd w:id="12"/>
    </w:p>
    <w:p w14:paraId="00312B7F" w14:textId="075A30EC" w:rsidR="00536B5A" w:rsidRPr="00536B5A" w:rsidRDefault="00AF2BD6" w:rsidP="009531A6">
      <w:pPr>
        <w:pStyle w:val="SingleTxt"/>
        <w:rPr>
          <w:lang w:val="fr-FR"/>
        </w:rPr>
      </w:pPr>
      <w:bookmarkStart w:id="13" w:name="bookmark_20"/>
      <w:r w:rsidRPr="008C247B">
        <w:rPr>
          <w:lang w:val="en-US"/>
        </w:rPr>
        <w:tab/>
      </w:r>
      <w:r>
        <w:rPr>
          <w:lang w:val="fr-FR"/>
        </w:rPr>
        <w:t>g)</w:t>
      </w:r>
      <w:r>
        <w:rPr>
          <w:lang w:val="fr-FR"/>
        </w:rPr>
        <w:tab/>
      </w:r>
      <w:hyperlink r:id="rId19" w:history="1">
        <w:r w:rsidR="00536B5A" w:rsidRPr="00B57088">
          <w:rPr>
            <w:rStyle w:val="Hyperlink"/>
            <w:lang w:val="fr-FR"/>
          </w:rPr>
          <w:t>ST/SGB/1998/6</w:t>
        </w:r>
      </w:hyperlink>
      <w:r w:rsidR="00536B5A" w:rsidRPr="00536B5A">
        <w:rPr>
          <w:lang w:val="fr-FR"/>
        </w:rPr>
        <w:t xml:space="preserve"> du 31 mars 1998</w:t>
      </w:r>
      <w:r w:rsidR="008C247B">
        <w:rPr>
          <w:lang w:val="fr-FR"/>
        </w:rPr>
        <w:t xml:space="preserve"> : </w:t>
      </w:r>
      <w:r w:rsidR="00536B5A" w:rsidRPr="00536B5A">
        <w:rPr>
          <w:lang w:val="fr-FR"/>
        </w:rPr>
        <w:t>« Investir pour l</w:t>
      </w:r>
      <w:r w:rsidR="008C247B">
        <w:rPr>
          <w:lang w:val="fr-FR"/>
        </w:rPr>
        <w:t>’</w:t>
      </w:r>
      <w:r w:rsidR="00536B5A" w:rsidRPr="00536B5A">
        <w:rPr>
          <w:lang w:val="fr-FR"/>
        </w:rPr>
        <w:t>avenir </w:t>
      </w:r>
      <w:bookmarkEnd w:id="13"/>
      <w:r w:rsidR="00536B5A" w:rsidRPr="00536B5A">
        <w:rPr>
          <w:lang w:val="fr-FR"/>
        </w:rPr>
        <w:t>»</w:t>
      </w:r>
      <w:r w:rsidR="008C247B">
        <w:rPr>
          <w:lang w:val="fr-FR"/>
        </w:rPr>
        <w:t xml:space="preserve"> ; </w:t>
      </w:r>
    </w:p>
    <w:p w14:paraId="795E446E" w14:textId="093F365F" w:rsidR="00536B5A" w:rsidRPr="00536B5A" w:rsidRDefault="00AF2BD6" w:rsidP="009531A6">
      <w:pPr>
        <w:pStyle w:val="SingleTxt"/>
        <w:rPr>
          <w:lang w:val="fr-FR"/>
        </w:rPr>
      </w:pPr>
      <w:bookmarkStart w:id="14" w:name="bookmark_21"/>
      <w:r>
        <w:rPr>
          <w:lang w:val="fr-FR"/>
        </w:rPr>
        <w:tab/>
        <w:t>h)</w:t>
      </w:r>
      <w:r>
        <w:rPr>
          <w:lang w:val="fr-FR"/>
        </w:rPr>
        <w:tab/>
      </w:r>
      <w:hyperlink r:id="rId20" w:history="1">
        <w:r w:rsidR="00536B5A" w:rsidRPr="00B57088">
          <w:rPr>
            <w:rStyle w:val="Hyperlink"/>
            <w:lang w:val="fr-FR"/>
          </w:rPr>
          <w:t>ST/SGB/1999/11</w:t>
        </w:r>
      </w:hyperlink>
      <w:r w:rsidR="00536B5A" w:rsidRPr="00536B5A">
        <w:rPr>
          <w:lang w:val="fr-FR"/>
        </w:rPr>
        <w:t xml:space="preserve"> du 30 juin 1999</w:t>
      </w:r>
      <w:r w:rsidR="008C247B">
        <w:rPr>
          <w:lang w:val="fr-FR"/>
        </w:rPr>
        <w:t xml:space="preserve"> : </w:t>
      </w:r>
      <w:r w:rsidR="00536B5A" w:rsidRPr="00536B5A">
        <w:rPr>
          <w:lang w:val="fr-FR"/>
        </w:rPr>
        <w:t>« Abolition des textes administratifs et des circulaires périmés »</w:t>
      </w:r>
      <w:r w:rsidR="00536B5A" w:rsidRPr="00AF7BBE">
        <w:rPr>
          <w:vertAlign w:val="superscript"/>
          <w:lang w:val="fr-FR"/>
        </w:rPr>
        <w:footnoteReference w:id="3"/>
      </w:r>
      <w:r w:rsidR="00536B5A" w:rsidRPr="00536B5A">
        <w:rPr>
          <w:lang w:val="fr-FR"/>
        </w:rPr>
        <w:t xml:space="preserve">; </w:t>
      </w:r>
      <w:bookmarkEnd w:id="14"/>
    </w:p>
    <w:p w14:paraId="307430FD" w14:textId="58ED76F6" w:rsidR="00536B5A" w:rsidRPr="00536B5A" w:rsidRDefault="00AF2BD6" w:rsidP="009531A6">
      <w:pPr>
        <w:pStyle w:val="SingleTxt"/>
        <w:rPr>
          <w:lang w:val="fr-FR"/>
        </w:rPr>
      </w:pPr>
      <w:bookmarkStart w:id="16" w:name="bookmark_23"/>
      <w:r>
        <w:rPr>
          <w:lang w:val="fr-FR"/>
        </w:rPr>
        <w:lastRenderedPageBreak/>
        <w:tab/>
        <w:t>i)</w:t>
      </w:r>
      <w:r>
        <w:rPr>
          <w:lang w:val="fr-FR"/>
        </w:rPr>
        <w:tab/>
      </w:r>
      <w:hyperlink r:id="rId21" w:history="1">
        <w:r w:rsidR="00536B5A" w:rsidRPr="00B57088">
          <w:rPr>
            <w:rStyle w:val="Hyperlink"/>
            <w:lang w:val="fr-FR"/>
          </w:rPr>
          <w:t>ST/SGB/2000/16</w:t>
        </w:r>
      </w:hyperlink>
      <w:r w:rsidR="00536B5A" w:rsidRPr="00536B5A">
        <w:rPr>
          <w:lang w:val="fr-FR"/>
        </w:rPr>
        <w:t xml:space="preserve"> du 13 décembre 2000</w:t>
      </w:r>
      <w:r w:rsidR="008C247B">
        <w:rPr>
          <w:lang w:val="fr-FR"/>
        </w:rPr>
        <w:t xml:space="preserve"> : </w:t>
      </w:r>
      <w:r w:rsidR="00536B5A" w:rsidRPr="00536B5A">
        <w:rPr>
          <w:lang w:val="fr-FR"/>
        </w:rPr>
        <w:t>« Abolition de textes administratifs périmés »</w:t>
      </w:r>
      <w:r w:rsidR="00536B5A" w:rsidRPr="00536B5A">
        <w:rPr>
          <w:vertAlign w:val="superscript"/>
          <w:lang w:val="fr-FR"/>
        </w:rPr>
        <w:t>3</w:t>
      </w:r>
      <w:r w:rsidR="008C247B">
        <w:rPr>
          <w:lang w:val="fr-FR"/>
        </w:rPr>
        <w:t xml:space="preserve"> ; </w:t>
      </w:r>
      <w:bookmarkEnd w:id="16"/>
    </w:p>
    <w:p w14:paraId="748839E4" w14:textId="06E6346D" w:rsidR="00536B5A" w:rsidRPr="00536B5A" w:rsidRDefault="00AF2BD6" w:rsidP="009531A6">
      <w:pPr>
        <w:pStyle w:val="SingleTxt"/>
        <w:rPr>
          <w:lang w:val="fr-FR"/>
        </w:rPr>
      </w:pPr>
      <w:bookmarkStart w:id="17" w:name="bookmark_24"/>
      <w:r>
        <w:rPr>
          <w:lang w:val="fr-FR"/>
        </w:rPr>
        <w:tab/>
        <w:t>j)</w:t>
      </w:r>
      <w:r>
        <w:rPr>
          <w:lang w:val="fr-FR"/>
        </w:rPr>
        <w:tab/>
      </w:r>
      <w:hyperlink r:id="rId22" w:history="1">
        <w:r w:rsidR="00536B5A" w:rsidRPr="00B57088">
          <w:rPr>
            <w:rStyle w:val="Hyperlink"/>
            <w:lang w:val="fr-FR"/>
          </w:rPr>
          <w:t>ST/SGB/2001/4</w:t>
        </w:r>
      </w:hyperlink>
      <w:r w:rsidR="00536B5A" w:rsidRPr="00536B5A">
        <w:rPr>
          <w:lang w:val="fr-FR"/>
        </w:rPr>
        <w:t xml:space="preserve"> du 12 avril 2001</w:t>
      </w:r>
      <w:r w:rsidR="008C247B">
        <w:rPr>
          <w:lang w:val="fr-FR"/>
        </w:rPr>
        <w:t xml:space="preserve"> : </w:t>
      </w:r>
      <w:r w:rsidR="00536B5A" w:rsidRPr="00536B5A">
        <w:rPr>
          <w:lang w:val="fr-FR"/>
        </w:rPr>
        <w:t>« Mise en œuvre du rapport du Groupe d</w:t>
      </w:r>
      <w:r w:rsidR="008C247B">
        <w:rPr>
          <w:lang w:val="fr-FR"/>
        </w:rPr>
        <w:t>’</w:t>
      </w:r>
      <w:r w:rsidR="00536B5A" w:rsidRPr="00536B5A">
        <w:rPr>
          <w:lang w:val="fr-FR"/>
        </w:rPr>
        <w:t>étude sur les opérations de paix de l</w:t>
      </w:r>
      <w:r w:rsidR="008C247B">
        <w:rPr>
          <w:lang w:val="fr-FR"/>
        </w:rPr>
        <w:t>’</w:t>
      </w:r>
      <w:r w:rsidR="00536B5A" w:rsidRPr="00536B5A">
        <w:rPr>
          <w:lang w:val="fr-FR"/>
        </w:rPr>
        <w:t>Organisation des Nations Unies – nouveaux postes à pourvoir »</w:t>
      </w:r>
      <w:r w:rsidR="008C247B">
        <w:rPr>
          <w:lang w:val="fr-FR"/>
        </w:rPr>
        <w:t xml:space="preserve"> ; </w:t>
      </w:r>
      <w:bookmarkEnd w:id="17"/>
    </w:p>
    <w:p w14:paraId="2921D3D2" w14:textId="2A327407" w:rsidR="00536B5A" w:rsidRPr="00536B5A" w:rsidRDefault="00AF2BD6" w:rsidP="009531A6">
      <w:pPr>
        <w:pStyle w:val="SingleTxt"/>
        <w:rPr>
          <w:lang w:val="fr-FR"/>
        </w:rPr>
      </w:pPr>
      <w:bookmarkStart w:id="18" w:name="bookmark_25"/>
      <w:r>
        <w:rPr>
          <w:lang w:val="fr-FR"/>
        </w:rPr>
        <w:tab/>
        <w:t>k)</w:t>
      </w:r>
      <w:r>
        <w:rPr>
          <w:lang w:val="fr-FR"/>
        </w:rPr>
        <w:tab/>
      </w:r>
      <w:hyperlink r:id="rId23" w:history="1">
        <w:r w:rsidR="00536B5A" w:rsidRPr="00B57088">
          <w:rPr>
            <w:rStyle w:val="Hyperlink"/>
            <w:lang w:val="fr-FR"/>
          </w:rPr>
          <w:t>ST/SGB/2002/17</w:t>
        </w:r>
      </w:hyperlink>
      <w:r w:rsidR="00536B5A" w:rsidRPr="00536B5A">
        <w:rPr>
          <w:lang w:val="fr-FR"/>
        </w:rPr>
        <w:t xml:space="preserve"> du 31 décembre 2002</w:t>
      </w:r>
      <w:r w:rsidR="008C247B">
        <w:rPr>
          <w:lang w:val="fr-FR"/>
        </w:rPr>
        <w:t xml:space="preserve"> : </w:t>
      </w:r>
      <w:r w:rsidR="00536B5A" w:rsidRPr="00536B5A">
        <w:rPr>
          <w:lang w:val="fr-FR"/>
        </w:rPr>
        <w:t>« Modification apportée à la circulaire du Secrétaire général sur la mise en œuvre du rapport du Groupe d</w:t>
      </w:r>
      <w:r w:rsidR="008C247B">
        <w:rPr>
          <w:lang w:val="fr-FR"/>
        </w:rPr>
        <w:t>’</w:t>
      </w:r>
      <w:r w:rsidR="00536B5A" w:rsidRPr="00536B5A">
        <w:rPr>
          <w:lang w:val="fr-FR"/>
        </w:rPr>
        <w:t>étude sur les opérations de paix des Nations Unies en ce qui concerne l</w:t>
      </w:r>
      <w:r w:rsidR="008C247B">
        <w:rPr>
          <w:lang w:val="fr-FR"/>
        </w:rPr>
        <w:t>’</w:t>
      </w:r>
      <w:r w:rsidR="00536B5A" w:rsidRPr="00536B5A">
        <w:rPr>
          <w:lang w:val="fr-FR"/>
        </w:rPr>
        <w:t>attribution des nouveaux postes (</w:t>
      </w:r>
      <w:hyperlink r:id="rId24" w:history="1">
        <w:r w:rsidR="00536B5A" w:rsidRPr="00B57088">
          <w:rPr>
            <w:rStyle w:val="Hyperlink"/>
            <w:lang w:val="fr-FR"/>
          </w:rPr>
          <w:t>ST/SGB/2001/4</w:t>
        </w:r>
      </w:hyperlink>
      <w:r w:rsidR="00536B5A" w:rsidRPr="00536B5A">
        <w:rPr>
          <w:lang w:val="fr-FR"/>
        </w:rPr>
        <w:t>) </w:t>
      </w:r>
      <w:bookmarkEnd w:id="18"/>
      <w:r w:rsidR="00536B5A" w:rsidRPr="00536B5A">
        <w:rPr>
          <w:lang w:val="fr-FR"/>
        </w:rPr>
        <w:t>»</w:t>
      </w:r>
      <w:r w:rsidR="008C247B">
        <w:rPr>
          <w:lang w:val="fr-FR"/>
        </w:rPr>
        <w:t xml:space="preserve"> ; </w:t>
      </w:r>
    </w:p>
    <w:p w14:paraId="11C7D9A9" w14:textId="5D2A0350" w:rsidR="00536B5A" w:rsidRPr="00536B5A" w:rsidRDefault="005D663C" w:rsidP="009531A6">
      <w:pPr>
        <w:pStyle w:val="SingleTxt"/>
        <w:rPr>
          <w:lang w:val="fr-FR"/>
        </w:rPr>
      </w:pPr>
      <w:bookmarkStart w:id="19" w:name="bookmark_26"/>
      <w:r>
        <w:rPr>
          <w:lang w:val="fr-FR"/>
        </w:rPr>
        <w:tab/>
        <w:t>l)</w:t>
      </w:r>
      <w:r>
        <w:rPr>
          <w:lang w:val="fr-FR"/>
        </w:rPr>
        <w:tab/>
      </w:r>
      <w:hyperlink r:id="rId25" w:history="1">
        <w:r w:rsidR="00536B5A" w:rsidRPr="00B57088">
          <w:rPr>
            <w:rStyle w:val="Hyperlink"/>
            <w:lang w:val="fr-FR"/>
          </w:rPr>
          <w:t>ST/SGB/2003/19</w:t>
        </w:r>
      </w:hyperlink>
      <w:r w:rsidR="00536B5A" w:rsidRPr="00536B5A">
        <w:rPr>
          <w:lang w:val="fr-FR"/>
        </w:rPr>
        <w:t xml:space="preserve"> du 9 décembre 2003</w:t>
      </w:r>
      <w:r w:rsidR="008C247B">
        <w:rPr>
          <w:lang w:val="fr-FR"/>
        </w:rPr>
        <w:t xml:space="preserve"> : </w:t>
      </w:r>
      <w:r w:rsidR="00536B5A" w:rsidRPr="00536B5A">
        <w:rPr>
          <w:lang w:val="fr-FR"/>
        </w:rPr>
        <w:t>« Notions de base relatives à la sécurité sur le terrain</w:t>
      </w:r>
      <w:r w:rsidR="008C247B">
        <w:rPr>
          <w:lang w:val="fr-FR"/>
        </w:rPr>
        <w:t xml:space="preserve"> : </w:t>
      </w:r>
      <w:r w:rsidR="00536B5A" w:rsidRPr="00536B5A">
        <w:rPr>
          <w:lang w:val="fr-FR"/>
        </w:rPr>
        <w:t>protection, santé et bien-être des fonctionnaires (apprentissage interactif en ligne) »</w:t>
      </w:r>
      <w:r w:rsidR="00536B5A" w:rsidRPr="00AF7BBE">
        <w:rPr>
          <w:vertAlign w:val="superscript"/>
          <w:lang w:val="fr-FR"/>
        </w:rPr>
        <w:footnoteReference w:id="4"/>
      </w:r>
      <w:r w:rsidR="00536B5A" w:rsidRPr="00536B5A">
        <w:rPr>
          <w:lang w:val="fr-FR"/>
        </w:rPr>
        <w:t>;</w:t>
      </w:r>
      <w:bookmarkEnd w:id="19"/>
    </w:p>
    <w:p w14:paraId="3AF5EEFA" w14:textId="23985EC0" w:rsidR="00536B5A" w:rsidRPr="00536B5A" w:rsidRDefault="005D663C" w:rsidP="009531A6">
      <w:pPr>
        <w:pStyle w:val="SingleTxt"/>
        <w:rPr>
          <w:lang w:val="fr-FR"/>
        </w:rPr>
      </w:pPr>
      <w:bookmarkStart w:id="21" w:name="bookmark_28"/>
      <w:r>
        <w:rPr>
          <w:lang w:val="fr-FR"/>
        </w:rPr>
        <w:tab/>
        <w:t>m)</w:t>
      </w:r>
      <w:r>
        <w:rPr>
          <w:lang w:val="fr-FR"/>
        </w:rPr>
        <w:tab/>
      </w:r>
      <w:hyperlink r:id="rId26" w:history="1">
        <w:r w:rsidR="00536B5A" w:rsidRPr="00B57088">
          <w:rPr>
            <w:rStyle w:val="Hyperlink"/>
            <w:lang w:val="fr-FR"/>
          </w:rPr>
          <w:t>ST/SGB/2005/17</w:t>
        </w:r>
      </w:hyperlink>
      <w:r w:rsidR="00536B5A" w:rsidRPr="00536B5A">
        <w:rPr>
          <w:lang w:val="fr-FR"/>
        </w:rPr>
        <w:t xml:space="preserve"> du 12 septembre 2005</w:t>
      </w:r>
      <w:r w:rsidR="008C247B">
        <w:rPr>
          <w:lang w:val="fr-FR"/>
        </w:rPr>
        <w:t xml:space="preserve"> : </w:t>
      </w:r>
      <w:r w:rsidR="00536B5A" w:rsidRPr="00536B5A">
        <w:rPr>
          <w:lang w:val="fr-FR"/>
        </w:rPr>
        <w:t>« Programme de sensibilisation à l</w:t>
      </w:r>
      <w:r w:rsidR="008C247B">
        <w:rPr>
          <w:lang w:val="fr-FR"/>
        </w:rPr>
        <w:t>’</w:t>
      </w:r>
      <w:r w:rsidR="00536B5A" w:rsidRPr="00536B5A">
        <w:rPr>
          <w:lang w:val="fr-FR"/>
        </w:rPr>
        <w:t>obligation d</w:t>
      </w:r>
      <w:r w:rsidR="008C247B">
        <w:rPr>
          <w:lang w:val="fr-FR"/>
        </w:rPr>
        <w:t>’</w:t>
      </w:r>
      <w:r w:rsidR="00536B5A" w:rsidRPr="00536B5A">
        <w:rPr>
          <w:lang w:val="fr-FR"/>
        </w:rPr>
        <w:t>intégrité »</w:t>
      </w:r>
      <w:r w:rsidR="00536B5A" w:rsidRPr="00536B5A">
        <w:rPr>
          <w:vertAlign w:val="superscript"/>
          <w:lang w:val="fr-FR"/>
        </w:rPr>
        <w:t>4</w:t>
      </w:r>
      <w:r w:rsidR="00536B5A" w:rsidRPr="00536B5A">
        <w:rPr>
          <w:lang w:val="fr-FR"/>
        </w:rPr>
        <w:t xml:space="preserve">; </w:t>
      </w:r>
      <w:bookmarkEnd w:id="21"/>
    </w:p>
    <w:p w14:paraId="07DDCAB6" w14:textId="237D51E4" w:rsidR="00536B5A" w:rsidRPr="00536B5A" w:rsidRDefault="005D663C" w:rsidP="009531A6">
      <w:pPr>
        <w:pStyle w:val="SingleTxt"/>
        <w:rPr>
          <w:lang w:val="fr-FR"/>
        </w:rPr>
      </w:pPr>
      <w:bookmarkStart w:id="22" w:name="bookmark_29"/>
      <w:r>
        <w:rPr>
          <w:lang w:val="fr-FR"/>
        </w:rPr>
        <w:tab/>
        <w:t>n)</w:t>
      </w:r>
      <w:r>
        <w:rPr>
          <w:lang w:val="fr-FR"/>
        </w:rPr>
        <w:tab/>
      </w:r>
      <w:hyperlink r:id="rId27" w:history="1">
        <w:r w:rsidR="00536B5A" w:rsidRPr="00B57088">
          <w:rPr>
            <w:rStyle w:val="Hyperlink"/>
            <w:lang w:val="fr-FR"/>
          </w:rPr>
          <w:t>ST/SGB/2005/20</w:t>
        </w:r>
      </w:hyperlink>
      <w:r w:rsidR="00536B5A" w:rsidRPr="00536B5A">
        <w:rPr>
          <w:lang w:val="fr-FR"/>
        </w:rPr>
        <w:t xml:space="preserve"> du 28 novembre 2005</w:t>
      </w:r>
      <w:r w:rsidR="008C247B">
        <w:rPr>
          <w:lang w:val="fr-FR"/>
        </w:rPr>
        <w:t xml:space="preserve"> : </w:t>
      </w:r>
      <w:r w:rsidR="00536B5A" w:rsidRPr="00536B5A">
        <w:rPr>
          <w:lang w:val="fr-FR"/>
        </w:rPr>
        <w:t>« Prévention du harcèlement moral, du harcèlement sexuel et de l</w:t>
      </w:r>
      <w:r w:rsidR="008C247B">
        <w:rPr>
          <w:lang w:val="fr-FR"/>
        </w:rPr>
        <w:t>’</w:t>
      </w:r>
      <w:r w:rsidR="00536B5A" w:rsidRPr="00536B5A">
        <w:rPr>
          <w:lang w:val="fr-FR"/>
        </w:rPr>
        <w:t>abus d</w:t>
      </w:r>
      <w:r w:rsidR="008C247B">
        <w:rPr>
          <w:lang w:val="fr-FR"/>
        </w:rPr>
        <w:t>’</w:t>
      </w:r>
      <w:r w:rsidR="00536B5A" w:rsidRPr="00536B5A">
        <w:rPr>
          <w:lang w:val="fr-FR"/>
        </w:rPr>
        <w:t>autorité au travail »</w:t>
      </w:r>
      <w:r w:rsidR="00536B5A" w:rsidRPr="00536B5A">
        <w:rPr>
          <w:vertAlign w:val="superscript"/>
          <w:lang w:val="fr-FR"/>
        </w:rPr>
        <w:t>4</w:t>
      </w:r>
      <w:bookmarkEnd w:id="22"/>
      <w:r w:rsidR="008C247B">
        <w:rPr>
          <w:lang w:val="fr-FR"/>
        </w:rPr>
        <w:t xml:space="preserve"> ; </w:t>
      </w:r>
    </w:p>
    <w:p w14:paraId="62B64C15" w14:textId="5BE91B7D" w:rsidR="00536B5A" w:rsidRPr="00536B5A" w:rsidRDefault="005D663C" w:rsidP="009531A6">
      <w:pPr>
        <w:pStyle w:val="SingleTxt"/>
        <w:rPr>
          <w:lang w:val="fr-FR"/>
        </w:rPr>
      </w:pPr>
      <w:bookmarkStart w:id="23" w:name="bookmark_30"/>
      <w:r>
        <w:rPr>
          <w:lang w:val="fr-FR"/>
        </w:rPr>
        <w:tab/>
        <w:t>o)</w:t>
      </w:r>
      <w:r>
        <w:rPr>
          <w:lang w:val="fr-FR"/>
        </w:rPr>
        <w:tab/>
      </w:r>
      <w:hyperlink r:id="rId28" w:history="1">
        <w:r w:rsidR="00536B5A" w:rsidRPr="00B57088">
          <w:rPr>
            <w:rStyle w:val="Hyperlink"/>
            <w:lang w:val="fr-FR"/>
          </w:rPr>
          <w:t>ST/SGB/2006/16/Amend.1</w:t>
        </w:r>
      </w:hyperlink>
      <w:r w:rsidR="00536B5A" w:rsidRPr="00536B5A">
        <w:rPr>
          <w:lang w:val="fr-FR"/>
        </w:rPr>
        <w:t xml:space="preserve"> du 26 septembre 2008</w:t>
      </w:r>
      <w:r w:rsidR="008C247B">
        <w:rPr>
          <w:lang w:val="fr-FR"/>
        </w:rPr>
        <w:t xml:space="preserve"> : </w:t>
      </w:r>
      <w:r w:rsidR="00536B5A" w:rsidRPr="00536B5A">
        <w:rPr>
          <w:lang w:val="fr-FR"/>
        </w:rPr>
        <w:t>« Destination des documents de la Commission d</w:t>
      </w:r>
      <w:r w:rsidR="008C247B">
        <w:rPr>
          <w:lang w:val="fr-FR"/>
        </w:rPr>
        <w:t>’</w:t>
      </w:r>
      <w:r w:rsidR="00536B5A" w:rsidRPr="00536B5A">
        <w:rPr>
          <w:lang w:val="fr-FR"/>
        </w:rPr>
        <w:t xml:space="preserve">enquête </w:t>
      </w:r>
      <w:r w:rsidR="0038403B">
        <w:rPr>
          <w:lang w:val="fr-FR"/>
        </w:rPr>
        <w:t>indépendante sur le programme "</w:t>
      </w:r>
      <w:r w:rsidR="0002064F">
        <w:rPr>
          <w:lang w:val="fr-FR"/>
        </w:rPr>
        <w:t>pétrole contre nourriture</w:t>
      </w:r>
      <w:r w:rsidR="0038403B">
        <w:rPr>
          <w:lang w:val="fr-FR"/>
        </w:rPr>
        <w:t>"</w:t>
      </w:r>
      <w:r w:rsidR="00536B5A" w:rsidRPr="00536B5A">
        <w:rPr>
          <w:lang w:val="fr-FR"/>
        </w:rPr>
        <w:t xml:space="preserve"> des Nations Unies </w:t>
      </w:r>
      <w:bookmarkEnd w:id="23"/>
      <w:r w:rsidR="00536B5A" w:rsidRPr="00536B5A">
        <w:rPr>
          <w:lang w:val="fr-FR"/>
        </w:rPr>
        <w:t>»</w:t>
      </w:r>
      <w:r w:rsidR="008C247B">
        <w:rPr>
          <w:lang w:val="fr-FR"/>
        </w:rPr>
        <w:t xml:space="preserve"> ; </w:t>
      </w:r>
    </w:p>
    <w:p w14:paraId="0691A2AA" w14:textId="328E79DF" w:rsidR="00536B5A" w:rsidRPr="00536B5A" w:rsidRDefault="005D663C" w:rsidP="009531A6">
      <w:pPr>
        <w:pStyle w:val="SingleTxt"/>
        <w:rPr>
          <w:lang w:val="fr-FR"/>
        </w:rPr>
      </w:pPr>
      <w:bookmarkStart w:id="24" w:name="bookmark_31"/>
      <w:r>
        <w:rPr>
          <w:lang w:val="fr-FR"/>
        </w:rPr>
        <w:tab/>
        <w:t>p)</w:t>
      </w:r>
      <w:r>
        <w:rPr>
          <w:lang w:val="fr-FR"/>
        </w:rPr>
        <w:tab/>
      </w:r>
      <w:hyperlink r:id="rId29" w:history="1">
        <w:r w:rsidR="00536B5A" w:rsidRPr="00B57088">
          <w:rPr>
            <w:rStyle w:val="Hyperlink"/>
            <w:lang w:val="fr-FR"/>
          </w:rPr>
          <w:t>ST/SGB/2006/16/Amend.2</w:t>
        </w:r>
      </w:hyperlink>
      <w:r w:rsidR="00536B5A" w:rsidRPr="00536B5A">
        <w:rPr>
          <w:lang w:val="fr-FR"/>
        </w:rPr>
        <w:t xml:space="preserve"> du 29 novembre 2008</w:t>
      </w:r>
      <w:r w:rsidR="008C247B">
        <w:rPr>
          <w:lang w:val="fr-FR"/>
        </w:rPr>
        <w:t xml:space="preserve"> : </w:t>
      </w:r>
      <w:r w:rsidR="00536B5A" w:rsidRPr="00536B5A">
        <w:rPr>
          <w:lang w:val="fr-FR"/>
        </w:rPr>
        <w:t>« Destination des documents de la Commission d</w:t>
      </w:r>
      <w:r w:rsidR="008C247B">
        <w:rPr>
          <w:lang w:val="fr-FR"/>
        </w:rPr>
        <w:t>’</w:t>
      </w:r>
      <w:r w:rsidR="00536B5A" w:rsidRPr="00536B5A">
        <w:rPr>
          <w:lang w:val="fr-FR"/>
        </w:rPr>
        <w:t>enquête indépendante sur</w:t>
      </w:r>
      <w:r w:rsidR="0038403B">
        <w:rPr>
          <w:lang w:val="fr-FR"/>
        </w:rPr>
        <w:t xml:space="preserve"> le programme "pétrole contre nourriture"</w:t>
      </w:r>
      <w:r w:rsidR="00536B5A" w:rsidRPr="00536B5A">
        <w:rPr>
          <w:lang w:val="fr-FR"/>
        </w:rPr>
        <w:t xml:space="preserve"> des Nations Unies </w:t>
      </w:r>
      <w:bookmarkEnd w:id="24"/>
      <w:r w:rsidR="00536B5A" w:rsidRPr="00536B5A">
        <w:rPr>
          <w:lang w:val="fr-FR"/>
        </w:rPr>
        <w:t>»</w:t>
      </w:r>
      <w:r w:rsidR="008C247B">
        <w:rPr>
          <w:lang w:val="fr-FR"/>
        </w:rPr>
        <w:t xml:space="preserve"> ; </w:t>
      </w:r>
    </w:p>
    <w:p w14:paraId="1C1A0FDA" w14:textId="227ED933" w:rsidR="00536B5A" w:rsidRPr="00536B5A" w:rsidRDefault="005D663C" w:rsidP="009531A6">
      <w:pPr>
        <w:pStyle w:val="SingleTxt"/>
        <w:rPr>
          <w:lang w:val="fr-FR"/>
        </w:rPr>
      </w:pPr>
      <w:bookmarkStart w:id="25" w:name="bookmark_32"/>
      <w:r>
        <w:rPr>
          <w:lang w:val="fr-FR"/>
        </w:rPr>
        <w:tab/>
        <w:t>q)</w:t>
      </w:r>
      <w:r>
        <w:rPr>
          <w:lang w:val="fr-FR"/>
        </w:rPr>
        <w:tab/>
      </w:r>
      <w:hyperlink r:id="rId30" w:history="1">
        <w:r w:rsidR="00536B5A" w:rsidRPr="00B57088">
          <w:rPr>
            <w:rStyle w:val="Hyperlink"/>
            <w:lang w:val="fr-FR"/>
          </w:rPr>
          <w:t>ST/SGB/2006/16/Amend.3</w:t>
        </w:r>
      </w:hyperlink>
      <w:r w:rsidR="00536B5A" w:rsidRPr="00536B5A">
        <w:rPr>
          <w:lang w:val="fr-FR"/>
        </w:rPr>
        <w:t xml:space="preserve"> du 2 novembre 2011</w:t>
      </w:r>
      <w:r w:rsidR="008C247B">
        <w:rPr>
          <w:lang w:val="fr-FR"/>
        </w:rPr>
        <w:t xml:space="preserve"> : </w:t>
      </w:r>
      <w:r w:rsidR="00536B5A" w:rsidRPr="00536B5A">
        <w:rPr>
          <w:lang w:val="fr-FR"/>
        </w:rPr>
        <w:t>« Destination des documents de la Commission d</w:t>
      </w:r>
      <w:r w:rsidR="008C247B">
        <w:rPr>
          <w:lang w:val="fr-FR"/>
        </w:rPr>
        <w:t>’</w:t>
      </w:r>
      <w:r w:rsidR="00536B5A" w:rsidRPr="00536B5A">
        <w:rPr>
          <w:lang w:val="fr-FR"/>
        </w:rPr>
        <w:t>enquête indépendante sur le</w:t>
      </w:r>
      <w:r w:rsidR="0038403B">
        <w:rPr>
          <w:lang w:val="fr-FR"/>
        </w:rPr>
        <w:t xml:space="preserve"> programme "pétrole contre nourriture"</w:t>
      </w:r>
      <w:r w:rsidR="00536B5A" w:rsidRPr="00536B5A">
        <w:rPr>
          <w:lang w:val="fr-FR"/>
        </w:rPr>
        <w:t xml:space="preserve"> des Nations Unies </w:t>
      </w:r>
      <w:bookmarkEnd w:id="25"/>
      <w:r w:rsidR="00536B5A" w:rsidRPr="00536B5A">
        <w:rPr>
          <w:lang w:val="fr-FR"/>
        </w:rPr>
        <w:t>»</w:t>
      </w:r>
      <w:r w:rsidR="008C247B">
        <w:rPr>
          <w:lang w:val="fr-FR"/>
        </w:rPr>
        <w:t xml:space="preserve"> ; </w:t>
      </w:r>
    </w:p>
    <w:p w14:paraId="2EDEEB99" w14:textId="789F2AEB" w:rsidR="00536B5A" w:rsidRPr="00536B5A" w:rsidRDefault="005D663C" w:rsidP="009531A6">
      <w:pPr>
        <w:pStyle w:val="SingleTxt"/>
        <w:rPr>
          <w:lang w:val="fr-FR"/>
        </w:rPr>
      </w:pPr>
      <w:bookmarkStart w:id="26" w:name="bookmark_33"/>
      <w:r>
        <w:rPr>
          <w:lang w:val="fr-FR"/>
        </w:rPr>
        <w:tab/>
        <w:t>r)</w:t>
      </w:r>
      <w:r>
        <w:rPr>
          <w:lang w:val="fr-FR"/>
        </w:rPr>
        <w:tab/>
      </w:r>
      <w:hyperlink r:id="rId31" w:history="1">
        <w:r w:rsidR="00536B5A" w:rsidRPr="00B57088">
          <w:rPr>
            <w:rStyle w:val="Hyperlink"/>
            <w:lang w:val="fr-FR"/>
          </w:rPr>
          <w:t>ST/SGB/2006/16/Amend.4</w:t>
        </w:r>
      </w:hyperlink>
      <w:r w:rsidR="00536B5A" w:rsidRPr="00536B5A">
        <w:rPr>
          <w:lang w:val="fr-FR"/>
        </w:rPr>
        <w:t xml:space="preserve"> du 24 décembre 2012</w:t>
      </w:r>
      <w:r w:rsidR="008C247B">
        <w:rPr>
          <w:lang w:val="fr-FR"/>
        </w:rPr>
        <w:t xml:space="preserve"> : </w:t>
      </w:r>
      <w:r w:rsidR="00536B5A" w:rsidRPr="00536B5A">
        <w:rPr>
          <w:lang w:val="fr-FR"/>
        </w:rPr>
        <w:t>« Destination des documents de la Commission d</w:t>
      </w:r>
      <w:r w:rsidR="008C247B">
        <w:rPr>
          <w:lang w:val="fr-FR"/>
        </w:rPr>
        <w:t>’</w:t>
      </w:r>
      <w:r w:rsidR="00536B5A" w:rsidRPr="00536B5A">
        <w:rPr>
          <w:lang w:val="fr-FR"/>
        </w:rPr>
        <w:t>enquête indépendante sur</w:t>
      </w:r>
      <w:r w:rsidR="0002064F">
        <w:rPr>
          <w:lang w:val="fr-FR"/>
        </w:rPr>
        <w:t xml:space="preserve"> le programm</w:t>
      </w:r>
      <w:r w:rsidR="0038403B">
        <w:rPr>
          <w:lang w:val="fr-FR"/>
        </w:rPr>
        <w:t>e "</w:t>
      </w:r>
      <w:r w:rsidR="0002064F">
        <w:rPr>
          <w:lang w:val="fr-FR"/>
        </w:rPr>
        <w:t>pétrole contre nourriture</w:t>
      </w:r>
      <w:r w:rsidR="0038403B">
        <w:rPr>
          <w:lang w:val="fr-FR"/>
        </w:rPr>
        <w:t>"</w:t>
      </w:r>
      <w:r w:rsidR="00536B5A" w:rsidRPr="00536B5A">
        <w:rPr>
          <w:lang w:val="fr-FR"/>
        </w:rPr>
        <w:t xml:space="preserve"> des Nations Unies </w:t>
      </w:r>
      <w:bookmarkEnd w:id="26"/>
      <w:r w:rsidR="00536B5A" w:rsidRPr="00536B5A">
        <w:rPr>
          <w:lang w:val="fr-FR"/>
        </w:rPr>
        <w:t>»</w:t>
      </w:r>
      <w:r w:rsidR="008C247B">
        <w:rPr>
          <w:lang w:val="fr-FR"/>
        </w:rPr>
        <w:t xml:space="preserve"> ; </w:t>
      </w:r>
    </w:p>
    <w:p w14:paraId="39011869" w14:textId="1278B587" w:rsidR="00536B5A" w:rsidRPr="00536B5A" w:rsidRDefault="005D663C" w:rsidP="009531A6">
      <w:pPr>
        <w:pStyle w:val="SingleTxt"/>
        <w:rPr>
          <w:lang w:val="fr-FR"/>
        </w:rPr>
      </w:pPr>
      <w:bookmarkStart w:id="27" w:name="bookmark_34"/>
      <w:r>
        <w:rPr>
          <w:lang w:val="fr-FR"/>
        </w:rPr>
        <w:tab/>
        <w:t>s)</w:t>
      </w:r>
      <w:r>
        <w:rPr>
          <w:lang w:val="fr-FR"/>
        </w:rPr>
        <w:tab/>
      </w:r>
      <w:hyperlink r:id="rId32" w:history="1">
        <w:r w:rsidR="00536B5A" w:rsidRPr="00B57088">
          <w:rPr>
            <w:rStyle w:val="Hyperlink"/>
            <w:lang w:val="fr-FR"/>
          </w:rPr>
          <w:t>ST/SGB/2007/12</w:t>
        </w:r>
      </w:hyperlink>
      <w:r w:rsidR="00536B5A" w:rsidRPr="00536B5A">
        <w:rPr>
          <w:lang w:val="fr-FR"/>
        </w:rPr>
        <w:t xml:space="preserve"> du 1</w:t>
      </w:r>
      <w:r w:rsidR="00536B5A" w:rsidRPr="00536B5A">
        <w:rPr>
          <w:vertAlign w:val="superscript"/>
          <w:lang w:val="fr-FR"/>
        </w:rPr>
        <w:t>er</w:t>
      </w:r>
      <w:r w:rsidR="00536B5A" w:rsidRPr="00536B5A">
        <w:rPr>
          <w:lang w:val="fr-FR"/>
        </w:rPr>
        <w:t xml:space="preserve"> décembre 2007</w:t>
      </w:r>
      <w:r w:rsidR="008C247B">
        <w:rPr>
          <w:lang w:val="fr-FR"/>
        </w:rPr>
        <w:t xml:space="preserve"> : </w:t>
      </w:r>
      <w:r w:rsidR="00536B5A" w:rsidRPr="00536B5A">
        <w:rPr>
          <w:lang w:val="fr-FR"/>
        </w:rPr>
        <w:t>« Programme d</w:t>
      </w:r>
      <w:r w:rsidR="008C247B">
        <w:rPr>
          <w:lang w:val="fr-FR"/>
        </w:rPr>
        <w:t>’</w:t>
      </w:r>
      <w:r w:rsidR="00536B5A" w:rsidRPr="00536B5A">
        <w:rPr>
          <w:lang w:val="fr-FR"/>
        </w:rPr>
        <w:t>orientation relatif au VIH/sida sur le lieu de travail »</w:t>
      </w:r>
      <w:bookmarkEnd w:id="27"/>
      <w:r w:rsidR="00536B5A" w:rsidRPr="00536B5A">
        <w:rPr>
          <w:vertAlign w:val="superscript"/>
          <w:lang w:val="fr-FR"/>
        </w:rPr>
        <w:t>4</w:t>
      </w:r>
      <w:r w:rsidR="008C247B">
        <w:rPr>
          <w:lang w:val="fr-FR"/>
        </w:rPr>
        <w:t xml:space="preserve"> ; </w:t>
      </w:r>
    </w:p>
    <w:p w14:paraId="7A124716" w14:textId="3C8CE439" w:rsidR="00536B5A" w:rsidRPr="00536B5A" w:rsidRDefault="005D663C" w:rsidP="009531A6">
      <w:pPr>
        <w:pStyle w:val="SingleTxt"/>
        <w:rPr>
          <w:lang w:val="fr-FR"/>
        </w:rPr>
      </w:pPr>
      <w:bookmarkStart w:id="28" w:name="bookmark_35"/>
      <w:r>
        <w:rPr>
          <w:lang w:val="fr-FR"/>
        </w:rPr>
        <w:tab/>
        <w:t>t)</w:t>
      </w:r>
      <w:r>
        <w:rPr>
          <w:lang w:val="fr-FR"/>
        </w:rPr>
        <w:tab/>
      </w:r>
      <w:hyperlink r:id="rId33" w:history="1">
        <w:r w:rsidR="00536B5A" w:rsidRPr="00B57088">
          <w:rPr>
            <w:rStyle w:val="Hyperlink"/>
            <w:lang w:val="fr-FR"/>
          </w:rPr>
          <w:t>ST/SGB/2009/10</w:t>
        </w:r>
      </w:hyperlink>
      <w:r w:rsidR="00536B5A" w:rsidRPr="00536B5A">
        <w:rPr>
          <w:lang w:val="fr-FR"/>
        </w:rPr>
        <w:t xml:space="preserve"> du 23 juin 2009</w:t>
      </w:r>
      <w:r w:rsidR="008C247B">
        <w:rPr>
          <w:lang w:val="fr-FR"/>
        </w:rPr>
        <w:t xml:space="preserve"> : </w:t>
      </w:r>
      <w:r w:rsidR="00536B5A" w:rsidRPr="00536B5A">
        <w:rPr>
          <w:lang w:val="fr-FR"/>
        </w:rPr>
        <w:t>« Examen du cas des fonctionnaires qui peuvent prétendre à la conversion de leur engagement en nomination à titre permanent au 30 juin 2009 </w:t>
      </w:r>
      <w:bookmarkEnd w:id="28"/>
      <w:r w:rsidR="00536B5A" w:rsidRPr="00536B5A">
        <w:rPr>
          <w:lang w:val="fr-FR"/>
        </w:rPr>
        <w:t>»</w:t>
      </w:r>
      <w:r w:rsidR="008C247B">
        <w:rPr>
          <w:lang w:val="fr-FR"/>
        </w:rPr>
        <w:t xml:space="preserve"> ; </w:t>
      </w:r>
    </w:p>
    <w:p w14:paraId="2A3E1A1E" w14:textId="611EFC1F" w:rsidR="00536B5A" w:rsidRPr="00536B5A" w:rsidRDefault="005D663C" w:rsidP="009531A6">
      <w:pPr>
        <w:pStyle w:val="SingleTxt"/>
        <w:rPr>
          <w:lang w:val="fr-FR"/>
        </w:rPr>
      </w:pPr>
      <w:bookmarkStart w:id="29" w:name="bookmark_36"/>
      <w:r>
        <w:rPr>
          <w:lang w:val="fr-FR"/>
        </w:rPr>
        <w:tab/>
        <w:t>u)</w:t>
      </w:r>
      <w:r>
        <w:rPr>
          <w:lang w:val="fr-FR"/>
        </w:rPr>
        <w:tab/>
      </w:r>
      <w:hyperlink r:id="rId34" w:history="1">
        <w:r w:rsidR="00536B5A" w:rsidRPr="00B57088">
          <w:rPr>
            <w:rStyle w:val="Hyperlink"/>
            <w:lang w:val="fr-FR"/>
          </w:rPr>
          <w:t>ST/SGB/2009/11</w:t>
        </w:r>
      </w:hyperlink>
      <w:r w:rsidR="00536B5A" w:rsidRPr="00536B5A">
        <w:rPr>
          <w:lang w:val="fr-FR"/>
        </w:rPr>
        <w:t xml:space="preserve"> du 24 juin 2009</w:t>
      </w:r>
      <w:r w:rsidR="008C247B">
        <w:rPr>
          <w:lang w:val="fr-FR"/>
        </w:rPr>
        <w:t xml:space="preserve"> : </w:t>
      </w:r>
      <w:r w:rsidR="00536B5A" w:rsidRPr="00536B5A">
        <w:rPr>
          <w:lang w:val="fr-FR"/>
        </w:rPr>
        <w:t>« Mesures de transition liées à la mise en place du nouveau système d</w:t>
      </w:r>
      <w:r w:rsidR="008C247B">
        <w:rPr>
          <w:lang w:val="fr-FR"/>
        </w:rPr>
        <w:t>’</w:t>
      </w:r>
      <w:r w:rsidR="00536B5A" w:rsidRPr="00536B5A">
        <w:rPr>
          <w:lang w:val="fr-FR"/>
        </w:rPr>
        <w:t>administration de la justice </w:t>
      </w:r>
      <w:bookmarkEnd w:id="29"/>
      <w:r w:rsidR="00536B5A" w:rsidRPr="00536B5A">
        <w:rPr>
          <w:lang w:val="fr-FR"/>
        </w:rPr>
        <w:t>»</w:t>
      </w:r>
      <w:r w:rsidR="008C247B">
        <w:rPr>
          <w:lang w:val="fr-FR"/>
        </w:rPr>
        <w:t xml:space="preserve"> ; </w:t>
      </w:r>
    </w:p>
    <w:p w14:paraId="2B7CC5F2" w14:textId="4E1B1E53" w:rsidR="00536B5A" w:rsidRPr="00536B5A" w:rsidRDefault="005D663C" w:rsidP="009531A6">
      <w:pPr>
        <w:pStyle w:val="SingleTxt"/>
        <w:rPr>
          <w:lang w:val="fr-FR"/>
        </w:rPr>
      </w:pPr>
      <w:bookmarkStart w:id="30" w:name="bookmark_37"/>
      <w:r>
        <w:rPr>
          <w:lang w:val="fr-FR"/>
        </w:rPr>
        <w:tab/>
        <w:t>v)</w:t>
      </w:r>
      <w:r>
        <w:rPr>
          <w:lang w:val="fr-FR"/>
        </w:rPr>
        <w:tab/>
      </w:r>
      <w:hyperlink r:id="rId35" w:history="1">
        <w:r w:rsidR="00536B5A" w:rsidRPr="00B57088">
          <w:rPr>
            <w:rStyle w:val="Hyperlink"/>
            <w:lang w:val="fr-FR"/>
          </w:rPr>
          <w:t>ST/SGB/2011/5</w:t>
        </w:r>
      </w:hyperlink>
      <w:r w:rsidR="00536B5A" w:rsidRPr="00536B5A">
        <w:rPr>
          <w:lang w:val="fr-FR"/>
        </w:rPr>
        <w:t xml:space="preserve"> du 8 septembre 2011</w:t>
      </w:r>
      <w:r w:rsidR="008C247B">
        <w:rPr>
          <w:lang w:val="fr-FR"/>
        </w:rPr>
        <w:t xml:space="preserve"> : </w:t>
      </w:r>
      <w:r w:rsidR="00536B5A" w:rsidRPr="00536B5A">
        <w:rPr>
          <w:lang w:val="fr-FR"/>
        </w:rPr>
        <w:t>« Programme de formation à l</w:t>
      </w:r>
      <w:r w:rsidR="008C247B">
        <w:rPr>
          <w:lang w:val="fr-FR"/>
        </w:rPr>
        <w:t>’</w:t>
      </w:r>
      <w:r w:rsidR="00536B5A" w:rsidRPr="00536B5A">
        <w:rPr>
          <w:lang w:val="fr-FR"/>
        </w:rPr>
        <w:t>intention du personnel de direction et d</w:t>
      </w:r>
      <w:r w:rsidR="008C247B">
        <w:rPr>
          <w:lang w:val="fr-FR"/>
        </w:rPr>
        <w:t>’</w:t>
      </w:r>
      <w:r w:rsidR="00536B5A" w:rsidRPr="00536B5A">
        <w:rPr>
          <w:lang w:val="fr-FR"/>
        </w:rPr>
        <w:t>encadrement sur le Système de gestion de la performance et de perfectionnement »</w:t>
      </w:r>
      <w:r w:rsidR="00536B5A" w:rsidRPr="00536B5A">
        <w:rPr>
          <w:vertAlign w:val="superscript"/>
          <w:lang w:val="fr-FR"/>
        </w:rPr>
        <w:t>4</w:t>
      </w:r>
      <w:r w:rsidR="008C247B">
        <w:rPr>
          <w:lang w:val="fr-FR"/>
        </w:rPr>
        <w:t xml:space="preserve"> ; </w:t>
      </w:r>
      <w:bookmarkEnd w:id="30"/>
    </w:p>
    <w:p w14:paraId="6CC28E9B" w14:textId="3C6A89F9" w:rsidR="00536B5A" w:rsidRPr="00536B5A" w:rsidRDefault="005D663C" w:rsidP="009531A6">
      <w:pPr>
        <w:pStyle w:val="SingleTxt"/>
        <w:rPr>
          <w:lang w:val="fr-FR"/>
        </w:rPr>
      </w:pPr>
      <w:bookmarkStart w:id="31" w:name="bookmark_38"/>
      <w:r>
        <w:rPr>
          <w:lang w:val="fr-FR"/>
        </w:rPr>
        <w:tab/>
        <w:t>w)</w:t>
      </w:r>
      <w:r>
        <w:rPr>
          <w:lang w:val="fr-FR"/>
        </w:rPr>
        <w:tab/>
      </w:r>
      <w:hyperlink r:id="rId36" w:history="1">
        <w:r w:rsidR="00536B5A" w:rsidRPr="00B57088">
          <w:rPr>
            <w:rStyle w:val="Hyperlink"/>
            <w:lang w:val="fr-FR"/>
          </w:rPr>
          <w:t>ST/SGB/2015/2</w:t>
        </w:r>
      </w:hyperlink>
      <w:r w:rsidR="00536B5A" w:rsidRPr="00536B5A">
        <w:rPr>
          <w:lang w:val="fr-FR"/>
        </w:rPr>
        <w:t xml:space="preserve"> du 2 juin 2015</w:t>
      </w:r>
      <w:r w:rsidR="008C247B">
        <w:rPr>
          <w:lang w:val="fr-FR"/>
        </w:rPr>
        <w:t xml:space="preserve"> : </w:t>
      </w:r>
      <w:r w:rsidR="00536B5A" w:rsidRPr="00536B5A">
        <w:rPr>
          <w:lang w:val="fr-FR"/>
        </w:rPr>
        <w:t>« Abolition de textes administratifs périmés »</w:t>
      </w:r>
      <w:r w:rsidR="00536B5A" w:rsidRPr="00536B5A">
        <w:rPr>
          <w:vertAlign w:val="superscript"/>
          <w:lang w:val="fr-FR"/>
        </w:rPr>
        <w:t>3</w:t>
      </w:r>
      <w:bookmarkEnd w:id="31"/>
      <w:r w:rsidR="008C247B">
        <w:rPr>
          <w:lang w:val="fr-FR"/>
        </w:rPr>
        <w:t xml:space="preserve"> ; </w:t>
      </w:r>
    </w:p>
    <w:p w14:paraId="7EE5CB43" w14:textId="577D787B" w:rsidR="00536B5A" w:rsidRPr="00536B5A" w:rsidRDefault="005D663C" w:rsidP="009531A6">
      <w:pPr>
        <w:pStyle w:val="SingleTxt"/>
        <w:rPr>
          <w:lang w:val="fr-FR"/>
        </w:rPr>
      </w:pPr>
      <w:bookmarkStart w:id="32" w:name="bookmark_39"/>
      <w:r>
        <w:rPr>
          <w:lang w:val="fr-FR"/>
        </w:rPr>
        <w:tab/>
        <w:t>x)</w:t>
      </w:r>
      <w:r>
        <w:rPr>
          <w:lang w:val="fr-FR"/>
        </w:rPr>
        <w:tab/>
      </w:r>
      <w:hyperlink r:id="rId37" w:history="1">
        <w:r w:rsidR="00536B5A" w:rsidRPr="00B57088">
          <w:rPr>
            <w:rStyle w:val="Hyperlink"/>
            <w:lang w:val="fr-FR"/>
          </w:rPr>
          <w:t>ST/SGB/2016/12</w:t>
        </w:r>
      </w:hyperlink>
      <w:r w:rsidR="00536B5A" w:rsidRPr="00536B5A">
        <w:rPr>
          <w:lang w:val="fr-FR"/>
        </w:rPr>
        <w:t xml:space="preserve"> du 8 novembre 2016</w:t>
      </w:r>
      <w:r w:rsidR="008C247B">
        <w:rPr>
          <w:lang w:val="fr-FR"/>
        </w:rPr>
        <w:t xml:space="preserve"> : </w:t>
      </w:r>
      <w:r w:rsidR="00536B5A" w:rsidRPr="00536B5A">
        <w:rPr>
          <w:lang w:val="fr-FR"/>
        </w:rPr>
        <w:t>« Programme d</w:t>
      </w:r>
      <w:r w:rsidR="008C247B">
        <w:rPr>
          <w:lang w:val="fr-FR"/>
        </w:rPr>
        <w:t>’</w:t>
      </w:r>
      <w:r w:rsidR="00536B5A" w:rsidRPr="00536B5A">
        <w:rPr>
          <w:lang w:val="fr-FR"/>
        </w:rPr>
        <w:t>apprentissage obligatoire</w:t>
      </w:r>
      <w:r w:rsidR="008C247B">
        <w:rPr>
          <w:lang w:val="fr-FR"/>
        </w:rPr>
        <w:t xml:space="preserve"> : </w:t>
      </w:r>
      <w:r w:rsidR="00536B5A" w:rsidRPr="00536B5A">
        <w:rPr>
          <w:lang w:val="fr-FR"/>
        </w:rPr>
        <w:t>les responsabilités des Nations Unies en matière de droits de l</w:t>
      </w:r>
      <w:r w:rsidR="008C247B">
        <w:rPr>
          <w:lang w:val="fr-FR"/>
        </w:rPr>
        <w:t>’</w:t>
      </w:r>
      <w:r w:rsidR="00536B5A" w:rsidRPr="00536B5A">
        <w:rPr>
          <w:lang w:val="fr-FR"/>
        </w:rPr>
        <w:t>homme »</w:t>
      </w:r>
      <w:bookmarkEnd w:id="32"/>
      <w:r w:rsidR="0096149B">
        <w:rPr>
          <w:lang w:val="fr-FR"/>
        </w:rPr>
        <w:t> ;</w:t>
      </w:r>
    </w:p>
    <w:p w14:paraId="50B3CC64" w14:textId="4179D61C" w:rsidR="00536B5A" w:rsidRPr="00536B5A" w:rsidRDefault="005D663C" w:rsidP="009531A6">
      <w:pPr>
        <w:pStyle w:val="SingleTxt"/>
        <w:rPr>
          <w:lang w:val="fr-FR"/>
        </w:rPr>
      </w:pPr>
      <w:bookmarkStart w:id="33" w:name="bookmark_40"/>
      <w:r>
        <w:rPr>
          <w:lang w:val="fr-FR"/>
        </w:rPr>
        <w:tab/>
        <w:t>y)</w:t>
      </w:r>
      <w:r>
        <w:rPr>
          <w:lang w:val="fr-FR"/>
        </w:rPr>
        <w:tab/>
      </w:r>
      <w:hyperlink r:id="rId38" w:history="1">
        <w:r w:rsidR="00536B5A" w:rsidRPr="00B57088">
          <w:rPr>
            <w:rStyle w:val="Hyperlink"/>
            <w:lang w:val="fr-FR"/>
          </w:rPr>
          <w:t>ST/SGB/2017/1</w:t>
        </w:r>
      </w:hyperlink>
      <w:r w:rsidR="00536B5A" w:rsidRPr="00536B5A">
        <w:rPr>
          <w:lang w:val="fr-FR"/>
        </w:rPr>
        <w:t xml:space="preserve"> du 30 décembre 2016</w:t>
      </w:r>
      <w:r w:rsidR="008C247B">
        <w:rPr>
          <w:lang w:val="fr-FR"/>
        </w:rPr>
        <w:t xml:space="preserve"> : </w:t>
      </w:r>
      <w:r w:rsidR="00536B5A" w:rsidRPr="00536B5A">
        <w:rPr>
          <w:lang w:val="fr-FR"/>
        </w:rPr>
        <w:t>« Statut et Règlement du personnel de l</w:t>
      </w:r>
      <w:r w:rsidR="008C247B">
        <w:rPr>
          <w:lang w:val="fr-FR"/>
        </w:rPr>
        <w:t>’</w:t>
      </w:r>
      <w:r w:rsidR="00536B5A" w:rsidRPr="00536B5A">
        <w:rPr>
          <w:lang w:val="fr-FR"/>
        </w:rPr>
        <w:t>Organisation des Nations Unies »</w:t>
      </w:r>
      <w:r w:rsidR="00536B5A" w:rsidRPr="00AF7BBE">
        <w:rPr>
          <w:vertAlign w:val="superscript"/>
          <w:lang w:val="fr-FR"/>
        </w:rPr>
        <w:footnoteReference w:id="5"/>
      </w:r>
      <w:bookmarkEnd w:id="33"/>
      <w:r w:rsidR="00B57088">
        <w:rPr>
          <w:lang w:val="fr-FR"/>
        </w:rPr>
        <w:t>.</w:t>
      </w:r>
    </w:p>
    <w:p w14:paraId="1CB4E655" w14:textId="3C4B7371" w:rsidR="00536B5A" w:rsidRPr="005D663C" w:rsidRDefault="00536B5A" w:rsidP="005D663C">
      <w:pPr>
        <w:pStyle w:val="SingleTxt"/>
        <w:spacing w:after="0" w:line="120" w:lineRule="exact"/>
        <w:rPr>
          <w:sz w:val="10"/>
          <w:lang w:val="fr-FR"/>
        </w:rPr>
      </w:pPr>
    </w:p>
    <w:p w14:paraId="573F0E67" w14:textId="111E1560" w:rsidR="00536B5A" w:rsidRPr="00536B5A" w:rsidRDefault="005D663C" w:rsidP="005D663C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fr-FR"/>
        </w:rPr>
      </w:pPr>
      <w:bookmarkStart w:id="35" w:name="bookmark_43"/>
      <w:r>
        <w:rPr>
          <w:lang w:val="fr-FR"/>
        </w:rPr>
        <w:tab/>
      </w:r>
      <w:r w:rsidR="00536B5A" w:rsidRPr="00536B5A">
        <w:rPr>
          <w:lang w:val="fr-FR"/>
        </w:rPr>
        <w:tab/>
        <w:t xml:space="preserve">Section 2 </w:t>
      </w:r>
      <w:r>
        <w:rPr>
          <w:lang w:val="fr-FR"/>
        </w:rPr>
        <w:br/>
      </w:r>
      <w:r w:rsidR="00536B5A" w:rsidRPr="00536B5A">
        <w:rPr>
          <w:lang w:val="fr-FR"/>
        </w:rPr>
        <w:t>Disposition finale</w:t>
      </w:r>
      <w:bookmarkEnd w:id="35"/>
    </w:p>
    <w:p w14:paraId="291864A7" w14:textId="376549C3" w:rsidR="00536B5A" w:rsidRPr="005D663C" w:rsidRDefault="00536B5A" w:rsidP="005D663C">
      <w:pPr>
        <w:pStyle w:val="SingleTxt"/>
        <w:spacing w:after="0" w:line="120" w:lineRule="exact"/>
        <w:rPr>
          <w:sz w:val="10"/>
          <w:lang w:val="fr-FR"/>
        </w:rPr>
      </w:pPr>
    </w:p>
    <w:p w14:paraId="27DA2F57" w14:textId="67D95C12" w:rsidR="00536B5A" w:rsidRPr="00536B5A" w:rsidRDefault="00536B5A" w:rsidP="00536B5A">
      <w:pPr>
        <w:pStyle w:val="SingleTxt"/>
        <w:rPr>
          <w:lang w:val="fr-FR"/>
        </w:rPr>
      </w:pPr>
      <w:bookmarkStart w:id="36" w:name="bookmark_44"/>
      <w:r w:rsidRPr="00536B5A">
        <w:rPr>
          <w:lang w:val="fr-FR"/>
        </w:rPr>
        <w:tab/>
        <w:t>La présente circulaire prend effet le 1</w:t>
      </w:r>
      <w:r w:rsidR="00CE1C47" w:rsidRPr="00CE1C47">
        <w:rPr>
          <w:vertAlign w:val="superscript"/>
          <w:lang w:val="fr-FR"/>
        </w:rPr>
        <w:t>er</w:t>
      </w:r>
      <w:r w:rsidRPr="00536B5A">
        <w:rPr>
          <w:lang w:val="fr-FR"/>
        </w:rPr>
        <w:t xml:space="preserve"> janvier 2018.</w:t>
      </w:r>
      <w:bookmarkEnd w:id="36"/>
    </w:p>
    <w:p w14:paraId="7856D9D2" w14:textId="53C1CD73" w:rsidR="00536B5A" w:rsidRPr="00CE1C47" w:rsidRDefault="00536B5A" w:rsidP="00CE1C47">
      <w:pPr>
        <w:pStyle w:val="SingleTxt"/>
        <w:spacing w:after="0" w:line="120" w:lineRule="exact"/>
        <w:rPr>
          <w:sz w:val="10"/>
          <w:lang w:val="fr-FR"/>
        </w:rPr>
      </w:pPr>
    </w:p>
    <w:p w14:paraId="683421D7" w14:textId="1FA55982" w:rsidR="00704537" w:rsidRDefault="00CE1C47" w:rsidP="00CE1C47">
      <w:pPr>
        <w:pStyle w:val="SingleTxt"/>
        <w:jc w:val="right"/>
        <w:rPr>
          <w:b/>
          <w:bCs/>
          <w:lang w:val="fr-FR"/>
        </w:rPr>
      </w:pPr>
      <w:bookmarkStart w:id="37" w:name="bookmark_45"/>
      <w:r>
        <w:rPr>
          <w:lang w:val="fr-FR"/>
        </w:rPr>
        <w:t>Le Secrétaire général</w:t>
      </w:r>
      <w:r>
        <w:rPr>
          <w:lang w:val="fr-FR"/>
        </w:rPr>
        <w:br/>
      </w:r>
      <w:r w:rsidR="00536B5A" w:rsidRPr="00CE1C47">
        <w:rPr>
          <w:lang w:val="fr-FR"/>
        </w:rPr>
        <w:t>(</w:t>
      </w:r>
      <w:r w:rsidR="00536B5A" w:rsidRPr="00536B5A">
        <w:rPr>
          <w:i/>
          <w:iCs/>
          <w:lang w:val="fr-FR"/>
        </w:rPr>
        <w:t>Signé</w:t>
      </w:r>
      <w:r w:rsidR="00536B5A" w:rsidRPr="00CE1C47">
        <w:rPr>
          <w:lang w:val="fr-FR"/>
        </w:rPr>
        <w:t>)</w:t>
      </w:r>
      <w:r w:rsidR="00536B5A" w:rsidRPr="00536B5A">
        <w:rPr>
          <w:lang w:val="fr-FR"/>
        </w:rPr>
        <w:t xml:space="preserve"> António </w:t>
      </w:r>
      <w:r w:rsidR="00536B5A" w:rsidRPr="00536B5A">
        <w:rPr>
          <w:b/>
          <w:bCs/>
          <w:lang w:val="fr-FR"/>
        </w:rPr>
        <w:t>Guterres</w:t>
      </w:r>
      <w:bookmarkEnd w:id="37"/>
    </w:p>
    <w:p w14:paraId="2567904B" w14:textId="30567577" w:rsidR="00CE1C47" w:rsidRPr="00CE1C47" w:rsidRDefault="00CE1C47" w:rsidP="00CE1C47">
      <w:pPr>
        <w:pStyle w:val="SingleTxt"/>
        <w:spacing w:after="0" w:line="240" w:lineRule="auto"/>
        <w:jc w:val="right"/>
      </w:pPr>
      <w:r>
        <w:rPr>
          <w:noProof/>
          <w:w w:val="1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E52E45" wp14:editId="25972A58">
                <wp:simplePos x="0" y="0"/>
                <wp:positionH relativeFrom="page">
                  <wp:posOffset>3429000</wp:posOffset>
                </wp:positionH>
                <wp:positionV relativeFrom="paragraph">
                  <wp:posOffset>304800</wp:posOffset>
                </wp:positionV>
                <wp:extent cx="91440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>
            <w:pict>
              <v:line w14:anchorId="3386065B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270pt,24pt" to="342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JU44gt4AAAAJAQAADwAAAGRycy9kb3ducmV2LnhtbEyPT0vDQBDF74LfYRmhN7tR0rDE&#10;bIpYFEpPbS3ibZudJsHsbMhu27Sf3hEPepp/jze/V8xH14kTDqH1pOFhmoBAqrxtqdbwvn29VyBC&#10;NGRN5wk1XDDAvLy9KUxu/ZnWeNrEWrAJhdxoaGLscylD1aAzYep7JL4d/OBM5HGopR3Mmc1dJx+T&#10;JJPOtMQfGtPjS4PV1+boNKjrh10s7Uotxt3h7dqrz2y9W2o9uRufn0BEHOOfGH7wGR1KZtr7I9kg&#10;Og2zNOEsUUOquLIgUyk3+9+FLAv5P0H5DQAA//8DAFBLAQItABQABgAIAAAAIQC2gziS/gAAAOEB&#10;AAATAAAAAAAAAAAAAAAAAAAAAABbQ29udGVudF9UeXBlc10ueG1sUEsBAi0AFAAGAAgAAAAhADj9&#10;If/WAAAAlAEAAAsAAAAAAAAAAAAAAAAALwEAAF9yZWxzLy5yZWxzUEsBAi0AFAAGAAgAAAAhAGVG&#10;CbHZAQAADAQAAA4AAAAAAAAAAAAAAAAALgIAAGRycy9lMm9Eb2MueG1sUEsBAi0AFAAGAAgAAAAh&#10;ACVOOILeAAAACQEAAA8AAAAAAAAAAAAAAAAAMwQAAGRycy9kb3ducmV2LnhtbFBLBQYAAAAABAAE&#10;APMAAAA+BQAAAAA=&#10;" strokecolor="#010000" strokeweight=".25pt">
                <w10:wrap anchorx="page"/>
              </v:line>
            </w:pict>
          </mc:Fallback>
        </mc:AlternateContent>
      </w:r>
    </w:p>
    <w:sectPr w:rsidR="00CE1C47" w:rsidRPr="00CE1C47" w:rsidSect="00A84627">
      <w:type w:val="continuous"/>
      <w:pgSz w:w="12240" w:h="15840"/>
      <w:pgMar w:top="1440" w:right="1200" w:bottom="1152" w:left="1200" w:header="432" w:footer="504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ED5A95" w14:textId="77777777" w:rsidR="004B682A" w:rsidRDefault="004B682A" w:rsidP="00101B18">
      <w:pPr>
        <w:spacing w:line="240" w:lineRule="auto"/>
      </w:pPr>
      <w:r>
        <w:separator/>
      </w:r>
    </w:p>
  </w:endnote>
  <w:endnote w:type="continuationSeparator" w:id="0">
    <w:p w14:paraId="0B25306E" w14:textId="77777777" w:rsidR="004B682A" w:rsidRDefault="004B682A" w:rsidP="00101B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rge tawagan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altName w:val="Britannic Bold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0" w:type="auto"/>
      <w:tblLayout w:type="fixed"/>
      <w:tblLook w:val="0000" w:firstRow="0" w:lastRow="0" w:firstColumn="0" w:lastColumn="0" w:noHBand="0" w:noVBand="0"/>
    </w:tblPr>
    <w:tblGrid>
      <w:gridCol w:w="4920"/>
      <w:gridCol w:w="4920"/>
    </w:tblGrid>
    <w:tr w:rsidR="00704537" w14:paraId="1EAB940C" w14:textId="77777777" w:rsidTr="00704537">
      <w:tc>
        <w:tcPr>
          <w:tcW w:w="4920" w:type="dxa"/>
          <w:shd w:val="clear" w:color="auto" w:fill="auto"/>
        </w:tcPr>
        <w:p w14:paraId="7A1B0FA6" w14:textId="24A0BAB6" w:rsidR="00704537" w:rsidRPr="00704537" w:rsidRDefault="00704537" w:rsidP="00704537">
          <w:pPr>
            <w:pStyle w:val="Footer"/>
            <w:jc w:val="right"/>
            <w:rPr>
              <w:b w:val="0"/>
              <w:w w:val="103"/>
              <w:sz w:val="14"/>
            </w:rPr>
          </w:pPr>
          <w:r>
            <w:rPr>
              <w:b w:val="0"/>
              <w:w w:val="103"/>
              <w:sz w:val="14"/>
            </w:rPr>
            <w:fldChar w:fldCharType="begin"/>
          </w:r>
          <w:r>
            <w:rPr>
              <w:b w:val="0"/>
              <w:w w:val="103"/>
              <w:sz w:val="14"/>
            </w:rPr>
            <w:instrText xml:space="preserve"> DOCVARIABLE "FooterJN" \* MERGEFORMAT </w:instrText>
          </w:r>
          <w:r>
            <w:rPr>
              <w:b w:val="0"/>
              <w:w w:val="103"/>
              <w:sz w:val="14"/>
            </w:rPr>
            <w:fldChar w:fldCharType="separate"/>
          </w:r>
          <w:r w:rsidR="00403262">
            <w:rPr>
              <w:b w:val="0"/>
              <w:w w:val="103"/>
              <w:sz w:val="14"/>
            </w:rPr>
            <w:t>18-00045</w:t>
          </w:r>
          <w:r>
            <w:rPr>
              <w:b w:val="0"/>
              <w:w w:val="103"/>
              <w:sz w:val="14"/>
            </w:rPr>
            <w:fldChar w:fldCharType="end"/>
          </w:r>
        </w:p>
      </w:tc>
      <w:tc>
        <w:tcPr>
          <w:tcW w:w="4920" w:type="dxa"/>
          <w:shd w:val="clear" w:color="auto" w:fill="auto"/>
        </w:tcPr>
        <w:p w14:paraId="7B3440EC" w14:textId="79934930" w:rsidR="00704537" w:rsidRPr="00704537" w:rsidRDefault="00704537" w:rsidP="00704537">
          <w:pPr>
            <w:pStyle w:val="Footer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 w:rsidR="004F5B2A">
            <w:rPr>
              <w:noProof/>
              <w:w w:val="103"/>
            </w:rPr>
            <w:t>2</w:t>
          </w:r>
          <w:r>
            <w:rPr>
              <w:w w:val="103"/>
            </w:rPr>
            <w:fldChar w:fldCharType="end"/>
          </w:r>
          <w:r>
            <w:rPr>
              <w:w w:val="103"/>
            </w:rPr>
            <w:t>/</w:t>
          </w: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NUMPAGES  \* Arabic  \* MERGEFORMAT </w:instrText>
          </w:r>
          <w:r>
            <w:rPr>
              <w:w w:val="103"/>
            </w:rPr>
            <w:fldChar w:fldCharType="separate"/>
          </w:r>
          <w:r w:rsidR="004F5B2A">
            <w:rPr>
              <w:noProof/>
              <w:w w:val="103"/>
            </w:rPr>
            <w:t>3</w:t>
          </w:r>
          <w:r>
            <w:rPr>
              <w:w w:val="103"/>
            </w:rPr>
            <w:fldChar w:fldCharType="end"/>
          </w:r>
        </w:p>
      </w:tc>
    </w:tr>
  </w:tbl>
  <w:p w14:paraId="375B6302" w14:textId="77777777" w:rsidR="00704537" w:rsidRPr="00704537" w:rsidRDefault="00704537" w:rsidP="007045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0" w:type="auto"/>
      <w:tblLayout w:type="fixed"/>
      <w:tblLook w:val="0000" w:firstRow="0" w:lastRow="0" w:firstColumn="0" w:lastColumn="0" w:noHBand="0" w:noVBand="0"/>
    </w:tblPr>
    <w:tblGrid>
      <w:gridCol w:w="4920"/>
      <w:gridCol w:w="4920"/>
    </w:tblGrid>
    <w:tr w:rsidR="00704537" w14:paraId="453FC3E9" w14:textId="77777777" w:rsidTr="00704537">
      <w:tc>
        <w:tcPr>
          <w:tcW w:w="4920" w:type="dxa"/>
          <w:shd w:val="clear" w:color="auto" w:fill="auto"/>
        </w:tcPr>
        <w:p w14:paraId="2AA7E06A" w14:textId="58EC2362" w:rsidR="00704537" w:rsidRPr="00704537" w:rsidRDefault="00704537" w:rsidP="00704537">
          <w:pPr>
            <w:pStyle w:val="Footer"/>
            <w:jc w:val="right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 w:rsidR="004F5B2A">
            <w:rPr>
              <w:noProof/>
              <w:w w:val="103"/>
            </w:rPr>
            <w:t>3</w:t>
          </w:r>
          <w:r>
            <w:rPr>
              <w:w w:val="103"/>
            </w:rPr>
            <w:fldChar w:fldCharType="end"/>
          </w:r>
          <w:r>
            <w:rPr>
              <w:w w:val="103"/>
            </w:rPr>
            <w:t>/</w:t>
          </w: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NUMPAGES  \* Arabic  \* MERGEFORMAT </w:instrText>
          </w:r>
          <w:r>
            <w:rPr>
              <w:w w:val="103"/>
            </w:rPr>
            <w:fldChar w:fldCharType="separate"/>
          </w:r>
          <w:r w:rsidR="004F5B2A">
            <w:rPr>
              <w:noProof/>
              <w:w w:val="103"/>
            </w:rPr>
            <w:t>3</w:t>
          </w:r>
          <w:r>
            <w:rPr>
              <w:w w:val="103"/>
            </w:rPr>
            <w:fldChar w:fldCharType="end"/>
          </w:r>
        </w:p>
      </w:tc>
      <w:tc>
        <w:tcPr>
          <w:tcW w:w="4920" w:type="dxa"/>
          <w:shd w:val="clear" w:color="auto" w:fill="auto"/>
        </w:tcPr>
        <w:p w14:paraId="05591322" w14:textId="4799E8D0" w:rsidR="00704537" w:rsidRPr="00704537" w:rsidRDefault="00704537" w:rsidP="00704537">
          <w:pPr>
            <w:pStyle w:val="Footer"/>
            <w:rPr>
              <w:b w:val="0"/>
              <w:w w:val="103"/>
              <w:sz w:val="14"/>
            </w:rPr>
          </w:pPr>
          <w:r>
            <w:rPr>
              <w:b w:val="0"/>
              <w:w w:val="103"/>
              <w:sz w:val="14"/>
            </w:rPr>
            <w:fldChar w:fldCharType="begin"/>
          </w:r>
          <w:r>
            <w:rPr>
              <w:b w:val="0"/>
              <w:w w:val="103"/>
              <w:sz w:val="14"/>
            </w:rPr>
            <w:instrText xml:space="preserve"> DOCVARIABLE "FooterJN" \* MERGEFORMAT </w:instrText>
          </w:r>
          <w:r>
            <w:rPr>
              <w:b w:val="0"/>
              <w:w w:val="103"/>
              <w:sz w:val="14"/>
            </w:rPr>
            <w:fldChar w:fldCharType="separate"/>
          </w:r>
          <w:r w:rsidR="00403262">
            <w:rPr>
              <w:b w:val="0"/>
              <w:w w:val="103"/>
              <w:sz w:val="14"/>
            </w:rPr>
            <w:t>18-00045</w:t>
          </w:r>
          <w:r>
            <w:rPr>
              <w:b w:val="0"/>
              <w:w w:val="103"/>
              <w:sz w:val="14"/>
            </w:rPr>
            <w:fldChar w:fldCharType="end"/>
          </w:r>
        </w:p>
      </w:tc>
    </w:tr>
  </w:tbl>
  <w:p w14:paraId="3A4BA334" w14:textId="77777777" w:rsidR="00704537" w:rsidRPr="00704537" w:rsidRDefault="00704537" w:rsidP="0070453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BEE6D0" w14:textId="77777777" w:rsidR="00704537" w:rsidRDefault="00704537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69FDF67" wp14:editId="3E4A30D5">
          <wp:simplePos x="0" y="0"/>
          <wp:positionH relativeFrom="column">
            <wp:posOffset>5532120</wp:posOffset>
          </wp:positionH>
          <wp:positionV relativeFrom="paragraph">
            <wp:posOffset>-228600</wp:posOffset>
          </wp:positionV>
          <wp:extent cx="694690" cy="694690"/>
          <wp:effectExtent l="0" t="0" r="0" b="0"/>
          <wp:wrapNone/>
          <wp:docPr id="3" name="Picture 3" descr="https://undocs.org/m2/QRCode2.ashx?DS=ST/SGB/2017/3&amp;Size =1&amp;Lang = 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2.ashx?DS=ST/SGB/2017/3&amp;Size =1&amp;Lang = 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690" cy="694690"/>
                  </a:xfrm>
                  <a:prstGeom prst="rect">
                    <a:avLst/>
                  </a:prstGeom>
                  <a:solidFill>
                    <a:schemeClr val="accent1"/>
                  </a:solidFill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3758"/>
      <w:gridCol w:w="4920"/>
    </w:tblGrid>
    <w:tr w:rsidR="00704537" w14:paraId="0F6A1250" w14:textId="77777777" w:rsidTr="00704537">
      <w:tc>
        <w:tcPr>
          <w:tcW w:w="3758" w:type="dxa"/>
        </w:tcPr>
        <w:p w14:paraId="51A98C95" w14:textId="70597838" w:rsidR="00704537" w:rsidRDefault="00704537" w:rsidP="00704537">
          <w:pPr>
            <w:pStyle w:val="Footer"/>
            <w:rPr>
              <w:b w:val="0"/>
              <w:sz w:val="20"/>
            </w:rPr>
          </w:pPr>
          <w:r>
            <w:rPr>
              <w:b w:val="0"/>
              <w:sz w:val="20"/>
            </w:rPr>
            <w:fldChar w:fldCharType="begin"/>
          </w:r>
          <w:r>
            <w:rPr>
              <w:b w:val="0"/>
              <w:sz w:val="20"/>
            </w:rPr>
            <w:instrText xml:space="preserve"> DOCVARIABLE "jobn" \* MERGEFORMAT </w:instrText>
          </w:r>
          <w:r>
            <w:rPr>
              <w:b w:val="0"/>
              <w:sz w:val="20"/>
            </w:rPr>
            <w:fldChar w:fldCharType="separate"/>
          </w:r>
          <w:r w:rsidR="00403262">
            <w:rPr>
              <w:b w:val="0"/>
              <w:sz w:val="20"/>
            </w:rPr>
            <w:t>18-00045 (F)</w:t>
          </w:r>
          <w:r>
            <w:rPr>
              <w:b w:val="0"/>
              <w:sz w:val="20"/>
            </w:rPr>
            <w:fldChar w:fldCharType="end"/>
          </w:r>
          <w:r w:rsidR="00AF2BD6">
            <w:rPr>
              <w:b w:val="0"/>
              <w:sz w:val="20"/>
            </w:rPr>
            <w:t xml:space="preserve">    04</w:t>
          </w:r>
          <w:r>
            <w:rPr>
              <w:b w:val="0"/>
              <w:sz w:val="20"/>
            </w:rPr>
            <w:t>0118    050118</w:t>
          </w:r>
        </w:p>
        <w:p w14:paraId="708313DB" w14:textId="6AB31750" w:rsidR="00704537" w:rsidRPr="00704537" w:rsidRDefault="00704537" w:rsidP="00704537">
          <w:pPr>
            <w:pStyle w:val="Footer"/>
            <w:spacing w:before="120" w:line="200" w:lineRule="exact"/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</w:pPr>
          <w:r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  <w:fldChar w:fldCharType="begin"/>
          </w:r>
          <w:r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  <w:instrText xml:space="preserve"> DOCVARIABLE "Barcode" \* MERGEFORMAT </w:instrText>
          </w:r>
          <w:r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  <w:fldChar w:fldCharType="separate"/>
          </w:r>
          <w:r w:rsidR="00403262"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  <w:t>*1800045*</w:t>
          </w:r>
          <w:r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  <w:fldChar w:fldCharType="end"/>
          </w:r>
        </w:p>
      </w:tc>
      <w:tc>
        <w:tcPr>
          <w:tcW w:w="4920" w:type="dxa"/>
        </w:tcPr>
        <w:p w14:paraId="6F9DAFB1" w14:textId="77777777" w:rsidR="00704537" w:rsidRDefault="00704537" w:rsidP="00704537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</w:rPr>
            <w:drawing>
              <wp:inline distT="0" distB="0" distL="0" distR="0" wp14:anchorId="3F4040FB" wp14:editId="1F09C2B7">
                <wp:extent cx="1109474" cy="231648"/>
                <wp:effectExtent l="0" t="0" r="0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9474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34D4806" w14:textId="77777777" w:rsidR="00704537" w:rsidRPr="00704537" w:rsidRDefault="00704537" w:rsidP="00704537">
    <w:pPr>
      <w:pStyle w:val="Footer"/>
      <w:spacing w:line="56" w:lineRule="exact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CDFAE3" w14:textId="18B8C84B" w:rsidR="004B682A" w:rsidRPr="00AF7BBE" w:rsidRDefault="00AF7BBE" w:rsidP="00AF7BBE">
      <w:pPr>
        <w:pStyle w:val="Footer"/>
        <w:spacing w:after="80"/>
        <w:ind w:left="792"/>
        <w:rPr>
          <w:sz w:val="16"/>
        </w:rPr>
      </w:pPr>
      <w:r w:rsidRPr="00AF7BBE">
        <w:rPr>
          <w:sz w:val="16"/>
        </w:rPr>
        <w:t>__________________</w:t>
      </w:r>
    </w:p>
  </w:footnote>
  <w:footnote w:type="continuationSeparator" w:id="0">
    <w:p w14:paraId="55E970DC" w14:textId="10E97855" w:rsidR="004B682A" w:rsidRPr="00AF7BBE" w:rsidRDefault="00AF7BBE" w:rsidP="00AF7BBE">
      <w:pPr>
        <w:pStyle w:val="Footer"/>
        <w:spacing w:after="80"/>
        <w:ind w:left="792"/>
        <w:rPr>
          <w:sz w:val="16"/>
        </w:rPr>
      </w:pPr>
      <w:r w:rsidRPr="00AF7BBE">
        <w:rPr>
          <w:sz w:val="16"/>
        </w:rPr>
        <w:t>__________________</w:t>
      </w:r>
    </w:p>
  </w:footnote>
  <w:footnote w:id="1">
    <w:p w14:paraId="2FBA00D0" w14:textId="0C226F1A" w:rsidR="00536B5A" w:rsidRPr="00AF7BBE" w:rsidRDefault="00AF2BD6" w:rsidP="00AF7BBE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  <w:rPr>
          <w:lang w:val="fr-FR"/>
        </w:rPr>
      </w:pPr>
      <w:r w:rsidRPr="00AF7BBE">
        <w:rPr>
          <w:lang w:val="fr-FR"/>
        </w:rPr>
        <w:tab/>
      </w:r>
      <w:r w:rsidR="00536B5A" w:rsidRPr="00AF7BBE">
        <w:rPr>
          <w:rStyle w:val="FootnoteReference"/>
          <w:spacing w:val="4"/>
          <w:lang w:val="fr-FR"/>
        </w:rPr>
        <w:footnoteRef/>
      </w:r>
      <w:bookmarkStart w:id="5" w:name="footnoteBookmark_12"/>
      <w:r w:rsidRPr="00AF7BBE">
        <w:rPr>
          <w:lang w:val="fr-FR"/>
        </w:rPr>
        <w:tab/>
      </w:r>
      <w:r w:rsidR="00536B5A" w:rsidRPr="00AF7BBE">
        <w:rPr>
          <w:lang w:val="fr-FR"/>
        </w:rPr>
        <w:t>Les circulaires du Secrétaire général qui ont été abolies peuvent être consultées à l</w:t>
      </w:r>
      <w:r w:rsidR="008C247B">
        <w:rPr>
          <w:lang w:val="fr-FR"/>
        </w:rPr>
        <w:t>’</w:t>
      </w:r>
      <w:r w:rsidR="00536B5A" w:rsidRPr="00AF7BBE">
        <w:rPr>
          <w:lang w:val="fr-FR"/>
        </w:rPr>
        <w:t>aide du Système de diffusion électronique des documents (Sédoc).</w:t>
      </w:r>
      <w:bookmarkEnd w:id="5"/>
    </w:p>
  </w:footnote>
  <w:footnote w:id="2">
    <w:p w14:paraId="0DBDFE49" w14:textId="6EC6358C" w:rsidR="00536B5A" w:rsidRPr="00AF7BBE" w:rsidRDefault="00AF2BD6" w:rsidP="00AF7BBE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  <w:jc w:val="both"/>
        <w:rPr>
          <w:sz w:val="18"/>
          <w:szCs w:val="18"/>
          <w:lang w:val="fr-FR"/>
        </w:rPr>
      </w:pPr>
      <w:r w:rsidRPr="00AF7BBE">
        <w:rPr>
          <w:lang w:val="fr-FR"/>
        </w:rPr>
        <w:tab/>
      </w:r>
      <w:r w:rsidR="00536B5A" w:rsidRPr="00AF7BBE">
        <w:rPr>
          <w:rStyle w:val="FootnoteReference"/>
          <w:spacing w:val="4"/>
          <w:sz w:val="18"/>
          <w:szCs w:val="18"/>
          <w:lang w:val="fr-FR"/>
        </w:rPr>
        <w:footnoteRef/>
      </w:r>
      <w:bookmarkStart w:id="9" w:name="footnoteBookmark_16"/>
      <w:r w:rsidRPr="00AF7BBE">
        <w:rPr>
          <w:lang w:val="fr-FR"/>
        </w:rPr>
        <w:tab/>
      </w:r>
      <w:r w:rsidR="00536B5A" w:rsidRPr="00AF7BBE">
        <w:rPr>
          <w:lang w:val="fr-FR"/>
        </w:rPr>
        <w:t>Sera incorporée dans une instruction administrative, devant être publiée début 2018, portant sur les dispositions de sécurité régissant l</w:t>
      </w:r>
      <w:r w:rsidR="008C247B">
        <w:rPr>
          <w:lang w:val="fr-FR"/>
        </w:rPr>
        <w:t>’</w:t>
      </w:r>
      <w:r w:rsidR="00536B5A" w:rsidRPr="00AF7BBE">
        <w:rPr>
          <w:lang w:val="fr-FR"/>
        </w:rPr>
        <w:t>accès au Siège de l</w:t>
      </w:r>
      <w:r w:rsidR="008C247B">
        <w:rPr>
          <w:lang w:val="fr-FR"/>
        </w:rPr>
        <w:t>’</w:t>
      </w:r>
      <w:r w:rsidR="00536B5A" w:rsidRPr="00AF7BBE">
        <w:rPr>
          <w:lang w:val="fr-FR"/>
        </w:rPr>
        <w:t>Organisation des Nations Unies à New York.</w:t>
      </w:r>
      <w:bookmarkEnd w:id="9"/>
    </w:p>
  </w:footnote>
  <w:footnote w:id="3">
    <w:p w14:paraId="4CD0FE60" w14:textId="7BE9A46B" w:rsidR="00536B5A" w:rsidRPr="00AF7BBE" w:rsidRDefault="00AF2BD6" w:rsidP="00AF7BBE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  <w:jc w:val="both"/>
        <w:rPr>
          <w:rFonts w:eastAsia="Times New Roman"/>
          <w:sz w:val="18"/>
          <w:szCs w:val="18"/>
          <w:lang w:val="fr-FR"/>
        </w:rPr>
      </w:pPr>
      <w:r w:rsidRPr="00AF7BBE">
        <w:rPr>
          <w:lang w:val="fr-FR"/>
        </w:rPr>
        <w:tab/>
      </w:r>
      <w:r w:rsidR="00536B5A" w:rsidRPr="00AF7BBE">
        <w:rPr>
          <w:rStyle w:val="FootnoteReference"/>
          <w:spacing w:val="4"/>
          <w:lang w:val="fr-FR"/>
        </w:rPr>
        <w:footnoteRef/>
      </w:r>
      <w:bookmarkStart w:id="15" w:name="footnoteBookmark_22"/>
      <w:r w:rsidRPr="00AF7BBE">
        <w:rPr>
          <w:lang w:val="fr-FR"/>
        </w:rPr>
        <w:tab/>
      </w:r>
      <w:r w:rsidR="00536B5A" w:rsidRPr="00AF7BBE">
        <w:rPr>
          <w:lang w:val="fr-FR"/>
        </w:rPr>
        <w:t>L</w:t>
      </w:r>
      <w:r w:rsidR="008C247B">
        <w:rPr>
          <w:lang w:val="fr-FR"/>
        </w:rPr>
        <w:t>’</w:t>
      </w:r>
      <w:r w:rsidR="00536B5A" w:rsidRPr="00AF7BBE">
        <w:rPr>
          <w:lang w:val="fr-FR"/>
        </w:rPr>
        <w:t>abolition de cette circulaire ne porte pas rétablissement des textes administratifs et circulaires qu</w:t>
      </w:r>
      <w:r w:rsidR="008C247B">
        <w:rPr>
          <w:lang w:val="fr-FR"/>
        </w:rPr>
        <w:t>’</w:t>
      </w:r>
      <w:r w:rsidR="00536B5A" w:rsidRPr="00AF7BBE">
        <w:rPr>
          <w:lang w:val="fr-FR"/>
        </w:rPr>
        <w:t>elle mentionne.</w:t>
      </w:r>
      <w:bookmarkEnd w:id="15"/>
    </w:p>
    <w:p w14:paraId="08BB8A23" w14:textId="77777777" w:rsidR="00536B5A" w:rsidRPr="00AF7BBE" w:rsidRDefault="00536B5A" w:rsidP="00AF7BBE">
      <w:pPr>
        <w:pStyle w:val="FootnoteText"/>
        <w:rPr>
          <w:lang w:val="fr-FR"/>
        </w:rPr>
      </w:pPr>
    </w:p>
  </w:footnote>
  <w:footnote w:id="4">
    <w:p w14:paraId="1DAF0B5A" w14:textId="7F49EEBD" w:rsidR="00536B5A" w:rsidRPr="00AF7BBE" w:rsidRDefault="005D663C" w:rsidP="00AF7BBE">
      <w:pPr>
        <w:tabs>
          <w:tab w:val="right" w:pos="1195"/>
          <w:tab w:val="left" w:pos="1267"/>
          <w:tab w:val="left" w:pos="1742"/>
          <w:tab w:val="left" w:pos="2218"/>
          <w:tab w:val="left" w:pos="2693"/>
        </w:tabs>
        <w:spacing w:line="210" w:lineRule="exact"/>
        <w:ind w:left="1267" w:right="1260" w:hanging="432"/>
        <w:rPr>
          <w:sz w:val="17"/>
          <w:szCs w:val="17"/>
          <w:lang w:val="fr-FR"/>
        </w:rPr>
      </w:pPr>
      <w:bookmarkStart w:id="20" w:name="footnoteBookmark_27"/>
      <w:r w:rsidRPr="00AF7BBE">
        <w:rPr>
          <w:vertAlign w:val="superscript"/>
          <w:lang w:val="fr-FR"/>
        </w:rPr>
        <w:tab/>
      </w:r>
      <w:r w:rsidR="00536B5A" w:rsidRPr="00AF7BBE">
        <w:rPr>
          <w:rStyle w:val="FootnoteReference"/>
          <w:spacing w:val="4"/>
          <w:sz w:val="17"/>
          <w:szCs w:val="20"/>
          <w:lang w:val="fr-FR"/>
        </w:rPr>
        <w:t>4</w:t>
      </w:r>
      <w:r w:rsidRPr="00AF7BBE">
        <w:rPr>
          <w:vertAlign w:val="superscript"/>
          <w:lang w:val="fr-FR"/>
        </w:rPr>
        <w:tab/>
      </w:r>
      <w:r w:rsidR="00536B5A" w:rsidRPr="00AF7BBE">
        <w:rPr>
          <w:sz w:val="17"/>
          <w:szCs w:val="17"/>
          <w:lang w:val="fr-FR"/>
        </w:rPr>
        <w:t xml:space="preserve">Les programmes en question figurent en annexe à la circulaire </w:t>
      </w:r>
      <w:hyperlink r:id="rId1" w:history="1">
        <w:r w:rsidR="00536B5A" w:rsidRPr="00B57088">
          <w:rPr>
            <w:rStyle w:val="Hyperlink"/>
            <w:sz w:val="17"/>
            <w:szCs w:val="17"/>
            <w:lang w:val="fr-FR"/>
          </w:rPr>
          <w:t>ST/IC/2017/17</w:t>
        </w:r>
      </w:hyperlink>
      <w:r w:rsidR="00536B5A" w:rsidRPr="00AF7BBE">
        <w:rPr>
          <w:sz w:val="17"/>
          <w:szCs w:val="17"/>
          <w:lang w:val="fr-FR"/>
        </w:rPr>
        <w:t xml:space="preserve"> du 5 juin 2017, intitulée « Programmes de formation obligatoires de l</w:t>
      </w:r>
      <w:r w:rsidR="008C247B">
        <w:rPr>
          <w:sz w:val="17"/>
          <w:szCs w:val="17"/>
          <w:lang w:val="fr-FR"/>
        </w:rPr>
        <w:t>’</w:t>
      </w:r>
      <w:r w:rsidR="00536B5A" w:rsidRPr="00AF7BBE">
        <w:rPr>
          <w:sz w:val="17"/>
          <w:szCs w:val="17"/>
          <w:lang w:val="fr-FR"/>
        </w:rPr>
        <w:t>Organisation des Nations Unies ».</w:t>
      </w:r>
      <w:bookmarkEnd w:id="20"/>
    </w:p>
    <w:p w14:paraId="5F533CBB" w14:textId="77777777" w:rsidR="00536B5A" w:rsidRPr="00AF7BBE" w:rsidRDefault="00536B5A" w:rsidP="00AF7BBE">
      <w:pPr>
        <w:spacing w:line="210" w:lineRule="exact"/>
        <w:rPr>
          <w:lang w:val="fr-FR"/>
        </w:rPr>
      </w:pPr>
    </w:p>
  </w:footnote>
  <w:footnote w:id="5">
    <w:p w14:paraId="174DC540" w14:textId="24F451D1" w:rsidR="00536B5A" w:rsidRPr="00AF7BBE" w:rsidRDefault="00AF7BBE" w:rsidP="00AF7BBE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  <w:rPr>
          <w:lang w:val="fr-FR"/>
        </w:rPr>
      </w:pPr>
      <w:r>
        <w:rPr>
          <w:lang w:val="fr-FR"/>
        </w:rPr>
        <w:tab/>
      </w:r>
      <w:r w:rsidR="00536B5A" w:rsidRPr="00AF7BBE">
        <w:rPr>
          <w:rStyle w:val="FootnoteReference"/>
          <w:spacing w:val="4"/>
          <w:lang w:val="fr-FR"/>
        </w:rPr>
        <w:footnoteRef/>
      </w:r>
      <w:bookmarkStart w:id="34" w:name="footnoteBookmark_41"/>
      <w:r>
        <w:rPr>
          <w:lang w:val="fr-FR"/>
        </w:rPr>
        <w:tab/>
      </w:r>
      <w:r w:rsidR="00536B5A" w:rsidRPr="00AF7BBE">
        <w:rPr>
          <w:lang w:val="fr-FR"/>
        </w:rPr>
        <w:t xml:space="preserve">Abolie et remplacée par la nouvelle circulaire </w:t>
      </w:r>
      <w:hyperlink r:id="rId2" w:history="1">
        <w:r w:rsidR="00536B5A" w:rsidRPr="00B57088">
          <w:rPr>
            <w:rStyle w:val="Hyperlink"/>
            <w:lang w:val="fr-FR"/>
          </w:rPr>
          <w:t>ST/SGB/2018/1</w:t>
        </w:r>
      </w:hyperlink>
      <w:r w:rsidR="00536B5A" w:rsidRPr="00AF7BBE">
        <w:rPr>
          <w:lang w:val="fr-FR"/>
        </w:rPr>
        <w:t xml:space="preserve"> relative aux Statut et Règlement du personnel de l</w:t>
      </w:r>
      <w:r w:rsidR="008C247B">
        <w:rPr>
          <w:lang w:val="fr-FR"/>
        </w:rPr>
        <w:t>’</w:t>
      </w:r>
      <w:r w:rsidR="00536B5A" w:rsidRPr="00AF7BBE">
        <w:rPr>
          <w:lang w:val="fr-FR"/>
        </w:rPr>
        <w:t>Organisation des Nations Unies, qui entrera en vigueur le 1</w:t>
      </w:r>
      <w:r w:rsidR="00536B5A" w:rsidRPr="00AF7BBE">
        <w:rPr>
          <w:vertAlign w:val="superscript"/>
          <w:lang w:val="fr-FR"/>
        </w:rPr>
        <w:t>er</w:t>
      </w:r>
      <w:r w:rsidR="00536B5A" w:rsidRPr="00AF7BBE">
        <w:rPr>
          <w:lang w:val="fr-FR"/>
        </w:rPr>
        <w:t xml:space="preserve"> janvier 2018.</w:t>
      </w:r>
      <w:bookmarkEnd w:id="34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bottom w:val="single" w:sz="2" w:space="0" w:color="01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38"/>
      <w:gridCol w:w="4920"/>
    </w:tblGrid>
    <w:tr w:rsidR="00704537" w14:paraId="26291187" w14:textId="77777777" w:rsidTr="00704537">
      <w:trPr>
        <w:trHeight w:hRule="exact" w:val="864"/>
      </w:trPr>
      <w:tc>
        <w:tcPr>
          <w:tcW w:w="4838" w:type="dxa"/>
          <w:shd w:val="clear" w:color="auto" w:fill="auto"/>
          <w:vAlign w:val="bottom"/>
        </w:tcPr>
        <w:p w14:paraId="4FB30D95" w14:textId="697CD6B0" w:rsidR="00704537" w:rsidRPr="00704537" w:rsidRDefault="00704537" w:rsidP="00704537">
          <w:pPr>
            <w:pStyle w:val="Header"/>
            <w:spacing w:after="80"/>
            <w:rPr>
              <w:b/>
              <w:color w:val="000000"/>
            </w:rPr>
          </w:pPr>
          <w:r>
            <w:rPr>
              <w:b/>
              <w:color w:val="000000"/>
            </w:rPr>
            <w:fldChar w:fldCharType="begin"/>
          </w:r>
          <w:r>
            <w:rPr>
              <w:b/>
              <w:color w:val="000000"/>
            </w:rPr>
            <w:instrText xml:space="preserve"> DOCVARIABLE "sss1" \* MERGEFORMAT </w:instrText>
          </w:r>
          <w:r>
            <w:rPr>
              <w:b/>
              <w:color w:val="000000"/>
            </w:rPr>
            <w:fldChar w:fldCharType="separate"/>
          </w:r>
          <w:r w:rsidR="00403262">
            <w:rPr>
              <w:b/>
              <w:color w:val="000000"/>
            </w:rPr>
            <w:t>ST/SGB/2017/3</w:t>
          </w:r>
          <w:r>
            <w:rPr>
              <w:b/>
              <w:color w:val="000000"/>
            </w:rPr>
            <w:fldChar w:fldCharType="end"/>
          </w:r>
        </w:p>
      </w:tc>
      <w:tc>
        <w:tcPr>
          <w:tcW w:w="4920" w:type="dxa"/>
          <w:shd w:val="clear" w:color="auto" w:fill="auto"/>
          <w:vAlign w:val="bottom"/>
        </w:tcPr>
        <w:p w14:paraId="231CE279" w14:textId="77777777" w:rsidR="00704537" w:rsidRDefault="00704537" w:rsidP="00704537">
          <w:pPr>
            <w:pStyle w:val="Header"/>
          </w:pPr>
        </w:p>
      </w:tc>
    </w:tr>
  </w:tbl>
  <w:p w14:paraId="10922C28" w14:textId="77777777" w:rsidR="00704537" w:rsidRPr="00704537" w:rsidRDefault="00704537" w:rsidP="00704537">
    <w:pPr>
      <w:pStyle w:val="Header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bottom w:val="single" w:sz="2" w:space="0" w:color="01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38"/>
      <w:gridCol w:w="4920"/>
    </w:tblGrid>
    <w:tr w:rsidR="00704537" w14:paraId="5B4A0D58" w14:textId="77777777" w:rsidTr="00704537">
      <w:trPr>
        <w:trHeight w:hRule="exact" w:val="864"/>
      </w:trPr>
      <w:tc>
        <w:tcPr>
          <w:tcW w:w="4838" w:type="dxa"/>
          <w:shd w:val="clear" w:color="auto" w:fill="auto"/>
          <w:vAlign w:val="bottom"/>
        </w:tcPr>
        <w:p w14:paraId="79282D06" w14:textId="77777777" w:rsidR="00704537" w:rsidRDefault="00704537" w:rsidP="00704537">
          <w:pPr>
            <w:pStyle w:val="Header"/>
          </w:pPr>
        </w:p>
      </w:tc>
      <w:tc>
        <w:tcPr>
          <w:tcW w:w="4920" w:type="dxa"/>
          <w:shd w:val="clear" w:color="auto" w:fill="auto"/>
          <w:vAlign w:val="bottom"/>
        </w:tcPr>
        <w:p w14:paraId="15543A37" w14:textId="757195F7" w:rsidR="00704537" w:rsidRPr="00704537" w:rsidRDefault="00704537" w:rsidP="00704537">
          <w:pPr>
            <w:pStyle w:val="Header"/>
            <w:spacing w:after="80"/>
            <w:jc w:val="right"/>
            <w:rPr>
              <w:b/>
              <w:color w:val="000000"/>
            </w:rPr>
          </w:pPr>
          <w:r>
            <w:rPr>
              <w:b/>
              <w:color w:val="000000"/>
            </w:rPr>
            <w:fldChar w:fldCharType="begin"/>
          </w:r>
          <w:r>
            <w:rPr>
              <w:b/>
              <w:color w:val="000000"/>
            </w:rPr>
            <w:instrText xml:space="preserve"> DOCVARIABLE "sss1" \* MERGEFORMAT </w:instrText>
          </w:r>
          <w:r>
            <w:rPr>
              <w:b/>
              <w:color w:val="000000"/>
            </w:rPr>
            <w:fldChar w:fldCharType="separate"/>
          </w:r>
          <w:r w:rsidR="00403262">
            <w:rPr>
              <w:b/>
              <w:color w:val="000000"/>
            </w:rPr>
            <w:t>ST/SGB/2017/3</w:t>
          </w:r>
          <w:r>
            <w:rPr>
              <w:b/>
              <w:color w:val="000000"/>
            </w:rPr>
            <w:fldChar w:fldCharType="end"/>
          </w:r>
        </w:p>
      </w:tc>
    </w:tr>
  </w:tbl>
  <w:p w14:paraId="42EEE01B" w14:textId="77777777" w:rsidR="00704537" w:rsidRPr="00704537" w:rsidRDefault="00704537" w:rsidP="00704537">
    <w:pPr>
      <w:pStyle w:val="Header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5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2059"/>
      <w:gridCol w:w="58"/>
      <w:gridCol w:w="3110"/>
      <w:gridCol w:w="245"/>
      <w:gridCol w:w="3111"/>
    </w:tblGrid>
    <w:tr w:rsidR="00704537" w14:paraId="26C043B3" w14:textId="77777777" w:rsidTr="00704537">
      <w:trPr>
        <w:trHeight w:hRule="exact" w:val="864"/>
      </w:trPr>
      <w:tc>
        <w:tcPr>
          <w:tcW w:w="1267" w:type="dxa"/>
          <w:tcBorders>
            <w:bottom w:val="single" w:sz="4" w:space="0" w:color="auto"/>
          </w:tcBorders>
          <w:shd w:val="clear" w:color="auto" w:fill="auto"/>
          <w:vAlign w:val="bottom"/>
        </w:tcPr>
        <w:p w14:paraId="38D4C7F9" w14:textId="77777777" w:rsidR="00704537" w:rsidRDefault="00704537" w:rsidP="00704537">
          <w:pPr>
            <w:pStyle w:val="Header"/>
            <w:spacing w:after="120"/>
          </w:pPr>
        </w:p>
      </w:tc>
      <w:tc>
        <w:tcPr>
          <w:tcW w:w="2059" w:type="dxa"/>
          <w:tcBorders>
            <w:bottom w:val="single" w:sz="4" w:space="0" w:color="auto"/>
          </w:tcBorders>
          <w:shd w:val="clear" w:color="auto" w:fill="auto"/>
          <w:vAlign w:val="bottom"/>
        </w:tcPr>
        <w:p w14:paraId="560869E9" w14:textId="77777777" w:rsidR="00704537" w:rsidRPr="00704537" w:rsidRDefault="00704537" w:rsidP="00704537">
          <w:pPr>
            <w:pStyle w:val="HCH"/>
            <w:spacing w:after="80"/>
            <w:rPr>
              <w:b w:val="0"/>
              <w:color w:val="010000"/>
              <w:spacing w:val="2"/>
              <w:w w:val="96"/>
            </w:rPr>
          </w:pPr>
          <w:r>
            <w:rPr>
              <w:b w:val="0"/>
              <w:color w:val="010000"/>
              <w:spacing w:val="2"/>
              <w:w w:val="96"/>
            </w:rPr>
            <w:t>Nations Unies</w:t>
          </w:r>
        </w:p>
      </w:tc>
      <w:tc>
        <w:tcPr>
          <w:tcW w:w="58" w:type="dxa"/>
          <w:tcBorders>
            <w:bottom w:val="single" w:sz="4" w:space="0" w:color="auto"/>
          </w:tcBorders>
          <w:shd w:val="clear" w:color="auto" w:fill="auto"/>
          <w:vAlign w:val="bottom"/>
        </w:tcPr>
        <w:p w14:paraId="1BD3E0F2" w14:textId="77777777" w:rsidR="00704537" w:rsidRDefault="00704537" w:rsidP="00704537">
          <w:pPr>
            <w:pStyle w:val="Header"/>
            <w:spacing w:after="120"/>
          </w:pPr>
        </w:p>
      </w:tc>
      <w:tc>
        <w:tcPr>
          <w:tcW w:w="6466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14:paraId="2A695A77" w14:textId="77777777" w:rsidR="00704537" w:rsidRPr="00704537" w:rsidRDefault="00704537" w:rsidP="00704537">
          <w:pPr>
            <w:spacing w:after="80" w:line="240" w:lineRule="auto"/>
            <w:jc w:val="right"/>
            <w:rPr>
              <w:position w:val="-4"/>
            </w:rPr>
          </w:pPr>
          <w:r>
            <w:rPr>
              <w:position w:val="-4"/>
              <w:sz w:val="40"/>
            </w:rPr>
            <w:t>ST</w:t>
          </w:r>
          <w:r>
            <w:rPr>
              <w:position w:val="-4"/>
            </w:rPr>
            <w:t>/SGB/2017/3</w:t>
          </w:r>
        </w:p>
      </w:tc>
    </w:tr>
    <w:tr w:rsidR="00704537" w:rsidRPr="00704537" w14:paraId="60ABE806" w14:textId="77777777" w:rsidTr="00704537"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38F1F3E8" w14:textId="77777777" w:rsidR="00704537" w:rsidRPr="00704537" w:rsidRDefault="00704537" w:rsidP="00704537">
          <w:pPr>
            <w:pStyle w:val="Header"/>
            <w:spacing w:before="120" w:line="240" w:lineRule="auto"/>
            <w:ind w:left="-72"/>
            <w:jc w:val="center"/>
          </w:pPr>
          <w:r>
            <w:t xml:space="preserve">  </w:t>
          </w:r>
          <w:r>
            <w:rPr>
              <w:noProof/>
            </w:rPr>
            <w:drawing>
              <wp:inline distT="0" distB="0" distL="0" distR="0" wp14:anchorId="38D6DD5B" wp14:editId="25F6C2E7">
                <wp:extent cx="713232" cy="594360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43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3526E8DE" w14:textId="77777777" w:rsidR="00704537" w:rsidRPr="00704537" w:rsidRDefault="00704537" w:rsidP="00704537">
          <w:pPr>
            <w:pStyle w:val="XLarge"/>
            <w:spacing w:before="109"/>
          </w:pPr>
          <w:r>
            <w:t>Secrétariat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30C06178" w14:textId="77777777" w:rsidR="00704537" w:rsidRPr="00704537" w:rsidRDefault="00704537" w:rsidP="00704537">
          <w:pPr>
            <w:pStyle w:val="Header"/>
            <w:spacing w:before="109"/>
          </w:pPr>
        </w:p>
      </w:tc>
      <w:tc>
        <w:tcPr>
          <w:tcW w:w="311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5F6803BF" w14:textId="77777777" w:rsidR="00704537" w:rsidRDefault="00704537" w:rsidP="00704537">
          <w:pPr>
            <w:pStyle w:val="Publication"/>
            <w:spacing w:before="400"/>
            <w:rPr>
              <w:color w:val="000000"/>
            </w:rPr>
          </w:pPr>
          <w:r>
            <w:rPr>
              <w:color w:val="000000"/>
            </w:rPr>
            <w:t>29 décembre 2017</w:t>
          </w:r>
        </w:p>
        <w:p w14:paraId="34649758" w14:textId="69FF2DE4" w:rsidR="00704537" w:rsidRDefault="00704537" w:rsidP="00704537">
          <w:pPr>
            <w:rPr>
              <w:lang w:val="en-US"/>
            </w:rPr>
          </w:pPr>
        </w:p>
        <w:p w14:paraId="120EE676" w14:textId="5E1C5A48" w:rsidR="00704537" w:rsidRPr="00704537" w:rsidRDefault="00704537" w:rsidP="00704537">
          <w:pPr>
            <w:pStyle w:val="Original"/>
            <w:rPr>
              <w:color w:val="000000"/>
            </w:rPr>
          </w:pPr>
        </w:p>
      </w:tc>
    </w:tr>
  </w:tbl>
  <w:p w14:paraId="3DF11FFF" w14:textId="77777777" w:rsidR="00704537" w:rsidRPr="00704537" w:rsidRDefault="00704537" w:rsidP="00704537">
    <w:pPr>
      <w:pStyle w:val="Header"/>
      <w:spacing w:line="240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15290"/>
    <w:multiLevelType w:val="hybridMultilevel"/>
    <w:tmpl w:val="6A801AC4"/>
    <w:lvl w:ilvl="0" w:tplc="6F8AA45A">
      <w:start w:val="1"/>
      <w:numFmt w:val="bullet"/>
      <w:pStyle w:val="Bullet3"/>
      <w:lvlText w:val=""/>
      <w:lvlJc w:val="left"/>
      <w:pPr>
        <w:ind w:left="3283" w:hanging="360"/>
      </w:pPr>
      <w:rPr>
        <w:rFonts w:ascii="Symbol" w:hAnsi="Symbol" w:hint="default"/>
        <w:sz w:val="14"/>
      </w:rPr>
    </w:lvl>
    <w:lvl w:ilvl="1" w:tplc="040C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1" w15:restartNumberingAfterBreak="0">
    <w:nsid w:val="12D06B23"/>
    <w:multiLevelType w:val="multilevel"/>
    <w:tmpl w:val="A4141256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  <w:rPr>
        <w:rFonts w:ascii="Times New Roman" w:hAnsi="Times New Roman" w:hint="default"/>
        <w:color w:val="auto"/>
        <w:sz w:val="20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172F270D"/>
    <w:multiLevelType w:val="hybridMultilevel"/>
    <w:tmpl w:val="2A045FD4"/>
    <w:lvl w:ilvl="0" w:tplc="198C65E6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B40547"/>
    <w:multiLevelType w:val="hybridMultilevel"/>
    <w:tmpl w:val="A53A10A2"/>
    <w:lvl w:ilvl="0" w:tplc="718A48B4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702285"/>
    <w:multiLevelType w:val="hybridMultilevel"/>
    <w:tmpl w:val="493CD65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AA98F490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74503C"/>
    <w:multiLevelType w:val="singleLevel"/>
    <w:tmpl w:val="1AA8F936"/>
    <w:lvl w:ilvl="0">
      <w:start w:val="1"/>
      <w:numFmt w:val="decimal"/>
      <w:lvlRestart w:val="0"/>
      <w:lvlText w:val="%1."/>
      <w:lvlJc w:val="left"/>
      <w:pPr>
        <w:tabs>
          <w:tab w:val="num" w:pos="475"/>
        </w:tabs>
        <w:ind w:left="0" w:firstLine="0"/>
      </w:pPr>
      <w:rPr>
        <w:w w:val="10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  <w:lvlOverride w:ilvl="2">
      <w:lvl w:ilvl="2" w:tplc="AA98F490">
        <w:start w:val="1"/>
        <w:numFmt w:val="lowerLetter"/>
        <w:lvlText w:val="%3)"/>
        <w:lvlJc w:val="right"/>
        <w:pPr>
          <w:ind w:left="2070" w:hanging="180"/>
        </w:pPr>
        <w:rPr>
          <w:rFonts w:ascii="Times New Roman" w:eastAsia="Calibri" w:hAnsi="Times New Roman" w:cs="Times New Roman"/>
        </w:rPr>
      </w:lvl>
    </w:lvlOverride>
  </w:num>
  <w:num w:numId="6">
    <w:abstractNumId w:val="4"/>
  </w:num>
  <w:num w:numId="7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defaultTabStop w:val="475"/>
  <w:hyphenationZone w:val="425"/>
  <w:doNotHyphenateCaps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arcode" w:val="*1800045*"/>
    <w:docVar w:name="CreationDt" w:val="05/01/2018 10:53:56"/>
    <w:docVar w:name="DocCategory" w:val="Doc"/>
    <w:docVar w:name="DocType" w:val="Final"/>
    <w:docVar w:name="DutyStation" w:val="New York"/>
    <w:docVar w:name="FooterJN" w:val="18-00045"/>
    <w:docVar w:name="jobn" w:val="18-00045 (F)"/>
    <w:docVar w:name="jobnDT" w:val="18-00045 (F)   050118"/>
    <w:docVar w:name="jobnDTDT" w:val="18-00045 (F)   050118   050118"/>
    <w:docVar w:name="JobNo" w:val="1800045F"/>
    <w:docVar w:name="JobNo2" w:val="1800100F"/>
    <w:docVar w:name="LocalDrive" w:val="0"/>
    <w:docVar w:name="OandT" w:val="sbc"/>
    <w:docVar w:name="sss1" w:val="ST/SGB/2017/3"/>
    <w:docVar w:name="sss2" w:val="-"/>
    <w:docVar w:name="Symbol1" w:val="ST/SGB/2017/3"/>
    <w:docVar w:name="Symbol2" w:val="-"/>
  </w:docVars>
  <w:rsids>
    <w:rsidRoot w:val="004B682A"/>
    <w:rsid w:val="0002064F"/>
    <w:rsid w:val="00027C0A"/>
    <w:rsid w:val="000377A7"/>
    <w:rsid w:val="00040085"/>
    <w:rsid w:val="00101B18"/>
    <w:rsid w:val="00125364"/>
    <w:rsid w:val="00132F83"/>
    <w:rsid w:val="00166A0D"/>
    <w:rsid w:val="00175A3F"/>
    <w:rsid w:val="00192A6C"/>
    <w:rsid w:val="001E4B50"/>
    <w:rsid w:val="00214B6A"/>
    <w:rsid w:val="002478A0"/>
    <w:rsid w:val="00297DA4"/>
    <w:rsid w:val="002C741D"/>
    <w:rsid w:val="002D678B"/>
    <w:rsid w:val="0038403B"/>
    <w:rsid w:val="003D66E0"/>
    <w:rsid w:val="00401D07"/>
    <w:rsid w:val="00403262"/>
    <w:rsid w:val="00440C93"/>
    <w:rsid w:val="00480B84"/>
    <w:rsid w:val="004B682A"/>
    <w:rsid w:val="004C1A25"/>
    <w:rsid w:val="004F5B2A"/>
    <w:rsid w:val="004F5DE2"/>
    <w:rsid w:val="00511887"/>
    <w:rsid w:val="00536B5A"/>
    <w:rsid w:val="005707E6"/>
    <w:rsid w:val="00587595"/>
    <w:rsid w:val="00594F25"/>
    <w:rsid w:val="005A34AB"/>
    <w:rsid w:val="005D663C"/>
    <w:rsid w:val="0065769B"/>
    <w:rsid w:val="00704537"/>
    <w:rsid w:val="00720308"/>
    <w:rsid w:val="007531A5"/>
    <w:rsid w:val="00771C9E"/>
    <w:rsid w:val="007F4C64"/>
    <w:rsid w:val="0082045E"/>
    <w:rsid w:val="00836ECD"/>
    <w:rsid w:val="008560AA"/>
    <w:rsid w:val="008648DB"/>
    <w:rsid w:val="008C247B"/>
    <w:rsid w:val="008E6F7F"/>
    <w:rsid w:val="009531A6"/>
    <w:rsid w:val="0096149B"/>
    <w:rsid w:val="0098549B"/>
    <w:rsid w:val="00993CB7"/>
    <w:rsid w:val="00A84627"/>
    <w:rsid w:val="00AC4453"/>
    <w:rsid w:val="00AD5F2F"/>
    <w:rsid w:val="00AF2BD6"/>
    <w:rsid w:val="00AF7BBE"/>
    <w:rsid w:val="00B05824"/>
    <w:rsid w:val="00B57088"/>
    <w:rsid w:val="00B858D5"/>
    <w:rsid w:val="00BC12EB"/>
    <w:rsid w:val="00BF1619"/>
    <w:rsid w:val="00C33A1B"/>
    <w:rsid w:val="00CB06FB"/>
    <w:rsid w:val="00CB63C5"/>
    <w:rsid w:val="00CE1C47"/>
    <w:rsid w:val="00E343A6"/>
    <w:rsid w:val="00E7105F"/>
    <w:rsid w:val="00EA12A8"/>
    <w:rsid w:val="00EF2DFA"/>
    <w:rsid w:val="00F5012D"/>
    <w:rsid w:val="00F73093"/>
    <w:rsid w:val="00F81CB9"/>
    <w:rsid w:val="00FA3D05"/>
    <w:rsid w:val="00FA5CC9"/>
    <w:rsid w:val="00FC5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47F9EAD"/>
  <w15:chartTrackingRefBased/>
  <w15:docId w15:val="{CC18B34B-9871-44E7-A7D4-ECD2506B7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 w:qFormat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77A7"/>
    <w:pPr>
      <w:spacing w:after="0" w:line="240" w:lineRule="exact"/>
    </w:pPr>
    <w:rPr>
      <w:rFonts w:ascii="Times New Roman" w:eastAsiaTheme="minorHAnsi" w:hAnsi="Times New Roman" w:cs="Times New Roman"/>
      <w:spacing w:val="4"/>
      <w:w w:val="103"/>
      <w:kern w:val="14"/>
      <w:sz w:val="20"/>
      <w:lang w:val="fr-CA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377A7"/>
    <w:pPr>
      <w:numPr>
        <w:numId w:val="4"/>
      </w:numPr>
      <w:spacing w:before="240" w:after="60"/>
      <w:outlineLvl w:val="0"/>
    </w:pPr>
    <w:rPr>
      <w:rFonts w:ascii="Arial" w:eastAsia="Times New Roman" w:hAnsi="Arial"/>
      <w:b/>
      <w:bCs/>
      <w:color w:val="365F91"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377A7"/>
    <w:pPr>
      <w:numPr>
        <w:ilvl w:val="1"/>
        <w:numId w:val="4"/>
      </w:numPr>
      <w:spacing w:before="240" w:after="60"/>
      <w:outlineLvl w:val="1"/>
    </w:pPr>
    <w:rPr>
      <w:rFonts w:ascii="Arial" w:eastAsia="Times New Roman" w:hAnsi="Arial"/>
      <w:b/>
      <w:bCs/>
      <w:i/>
      <w:color w:val="4F81BD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377A7"/>
    <w:pPr>
      <w:numPr>
        <w:ilvl w:val="2"/>
        <w:numId w:val="4"/>
      </w:numPr>
      <w:spacing w:before="240" w:after="60"/>
      <w:outlineLvl w:val="2"/>
    </w:pPr>
    <w:rPr>
      <w:rFonts w:ascii="Arial" w:eastAsia="Times New Roman" w:hAnsi="Arial"/>
      <w:b/>
      <w:bCs/>
      <w:color w:val="4F81BD"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0377A7"/>
    <w:pPr>
      <w:keepNext/>
      <w:keepLines/>
      <w:numPr>
        <w:ilvl w:val="3"/>
        <w:numId w:val="4"/>
      </w:numPr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0377A7"/>
    <w:pPr>
      <w:keepNext/>
      <w:keepLines/>
      <w:numPr>
        <w:ilvl w:val="4"/>
        <w:numId w:val="4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0377A7"/>
    <w:pPr>
      <w:keepNext/>
      <w:keepLines/>
      <w:numPr>
        <w:ilvl w:val="5"/>
        <w:numId w:val="4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0377A7"/>
    <w:pPr>
      <w:keepNext/>
      <w:keepLines/>
      <w:numPr>
        <w:ilvl w:val="6"/>
        <w:numId w:val="4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377A7"/>
    <w:pPr>
      <w:keepNext/>
      <w:keepLines/>
      <w:numPr>
        <w:ilvl w:val="7"/>
        <w:numId w:val="4"/>
      </w:numPr>
      <w:spacing w:before="200"/>
      <w:outlineLvl w:val="7"/>
    </w:pPr>
    <w:rPr>
      <w:rFonts w:ascii="Cambria" w:eastAsia="Times New Roman" w:hAnsi="Cambria"/>
      <w:color w:val="40404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377A7"/>
    <w:pPr>
      <w:keepNext/>
      <w:keepLines/>
      <w:numPr>
        <w:ilvl w:val="8"/>
        <w:numId w:val="4"/>
      </w:numPr>
      <w:spacing w:before="200"/>
      <w:outlineLvl w:val="8"/>
    </w:pPr>
    <w:rPr>
      <w:rFonts w:ascii="Cambria" w:eastAsia="Times New Roman" w:hAnsi="Cambria"/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1">
    <w:name w:val="_ H_1"/>
    <w:basedOn w:val="Normal"/>
    <w:next w:val="Normal"/>
    <w:qFormat/>
    <w:rsid w:val="000377A7"/>
    <w:pPr>
      <w:keepNext/>
      <w:keepLines/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Normal"/>
    <w:qFormat/>
    <w:rsid w:val="000377A7"/>
    <w:pPr>
      <w:spacing w:line="300" w:lineRule="exact"/>
    </w:pPr>
    <w:rPr>
      <w:spacing w:val="-2"/>
      <w:sz w:val="28"/>
    </w:rPr>
  </w:style>
  <w:style w:type="paragraph" w:customStyle="1" w:styleId="HM">
    <w:name w:val="_ H __M"/>
    <w:basedOn w:val="HCH"/>
    <w:next w:val="Normal"/>
    <w:qFormat/>
    <w:rsid w:val="000377A7"/>
    <w:pPr>
      <w:spacing w:line="360" w:lineRule="exact"/>
    </w:pPr>
    <w:rPr>
      <w:spacing w:val="-3"/>
      <w:w w:val="99"/>
      <w:sz w:val="34"/>
    </w:rPr>
  </w:style>
  <w:style w:type="paragraph" w:customStyle="1" w:styleId="H23">
    <w:name w:val="_ H_2/3"/>
    <w:basedOn w:val="H1"/>
    <w:next w:val="SingleTxt"/>
    <w:qFormat/>
    <w:rsid w:val="000377A7"/>
    <w:pPr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0377A7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0377A7"/>
    <w:pPr>
      <w:keepNext/>
      <w:keepLines/>
      <w:tabs>
        <w:tab w:val="right" w:pos="360"/>
      </w:tabs>
      <w:suppressAutoHyphens/>
      <w:outlineLvl w:val="4"/>
    </w:pPr>
    <w:rPr>
      <w:rFonts w:ascii="marge tawagan" w:hAnsi="marge tawagan"/>
    </w:rPr>
  </w:style>
  <w:style w:type="paragraph" w:customStyle="1" w:styleId="DualTxt">
    <w:name w:val="__Dual Txt"/>
    <w:basedOn w:val="Normal"/>
    <w:qFormat/>
    <w:rsid w:val="000377A7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0377A7"/>
    <w:pPr>
      <w:keepNext/>
      <w:keepLines/>
      <w:tabs>
        <w:tab w:val="righ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0377A7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0377A7"/>
    <w:pPr>
      <w:ind w:left="1267" w:right="1267"/>
    </w:pPr>
  </w:style>
  <w:style w:type="paragraph" w:customStyle="1" w:styleId="SingleTxt">
    <w:name w:val="__Single Txt"/>
    <w:basedOn w:val="Normal"/>
    <w:qFormat/>
    <w:rsid w:val="000377A7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after="120" w:line="240" w:lineRule="atLeast"/>
      <w:ind w:left="1267" w:right="1267"/>
      <w:jc w:val="both"/>
    </w:pPr>
  </w:style>
  <w:style w:type="paragraph" w:customStyle="1" w:styleId="AgendaItemNormal">
    <w:name w:val="Agenda_Item_Normal"/>
    <w:next w:val="Normal"/>
    <w:autoRedefine/>
    <w:qFormat/>
    <w:rsid w:val="000377A7"/>
    <w:pPr>
      <w:spacing w:after="0" w:line="240" w:lineRule="exact"/>
    </w:pPr>
    <w:rPr>
      <w:rFonts w:ascii="Times New Roman" w:eastAsiaTheme="minorHAnsi" w:hAnsi="Times New Roman" w:cs="Times New Roman"/>
      <w:spacing w:val="4"/>
      <w:w w:val="103"/>
      <w:kern w:val="14"/>
      <w:sz w:val="20"/>
      <w:lang w:val="fr-CA" w:eastAsia="en-US"/>
    </w:rPr>
  </w:style>
  <w:style w:type="paragraph" w:customStyle="1" w:styleId="TitleH1">
    <w:name w:val="Title_H1"/>
    <w:basedOn w:val="Normal"/>
    <w:next w:val="Normal"/>
    <w:qFormat/>
    <w:rsid w:val="000377A7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line="270" w:lineRule="exact"/>
      <w:ind w:left="1267" w:right="1267" w:hanging="1267"/>
      <w:outlineLvl w:val="0"/>
    </w:pPr>
    <w:rPr>
      <w:b/>
      <w:sz w:val="24"/>
    </w:rPr>
  </w:style>
  <w:style w:type="paragraph" w:customStyle="1" w:styleId="AgendaTitleH2">
    <w:name w:val="Agenda_Title_H2"/>
    <w:basedOn w:val="H1"/>
    <w:next w:val="Normal"/>
    <w:qFormat/>
    <w:rsid w:val="000377A7"/>
    <w:pPr>
      <w:spacing w:line="240" w:lineRule="exact"/>
      <w:ind w:right="5040"/>
      <w:outlineLvl w:val="1"/>
    </w:pPr>
    <w:rPr>
      <w:spacing w:val="2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7A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77A7"/>
    <w:rPr>
      <w:rFonts w:ascii="Tahoma" w:eastAsiaTheme="minorHAnsi" w:hAnsi="Tahoma" w:cs="Tahoma"/>
      <w:spacing w:val="4"/>
      <w:w w:val="103"/>
      <w:kern w:val="14"/>
      <w:sz w:val="16"/>
      <w:szCs w:val="16"/>
      <w:lang w:val="fr-CA" w:eastAsia="en-US"/>
    </w:rPr>
  </w:style>
  <w:style w:type="paragraph" w:customStyle="1" w:styleId="Bullet1">
    <w:name w:val="Bullet 1"/>
    <w:basedOn w:val="Normal"/>
    <w:qFormat/>
    <w:rsid w:val="000377A7"/>
    <w:pPr>
      <w:numPr>
        <w:numId w:val="1"/>
      </w:numPr>
      <w:spacing w:after="120"/>
      <w:ind w:right="1267"/>
      <w:jc w:val="both"/>
    </w:pPr>
  </w:style>
  <w:style w:type="paragraph" w:customStyle="1" w:styleId="Bullet2">
    <w:name w:val="Bullet 2"/>
    <w:basedOn w:val="Normal"/>
    <w:qFormat/>
    <w:rsid w:val="000377A7"/>
    <w:pPr>
      <w:numPr>
        <w:numId w:val="2"/>
      </w:numPr>
      <w:spacing w:after="120"/>
      <w:ind w:right="1264"/>
      <w:jc w:val="both"/>
    </w:pPr>
  </w:style>
  <w:style w:type="paragraph" w:customStyle="1" w:styleId="Bullet3">
    <w:name w:val="Bullet 3"/>
    <w:basedOn w:val="SingleTxt"/>
    <w:qFormat/>
    <w:rsid w:val="000377A7"/>
    <w:pPr>
      <w:numPr>
        <w:numId w:val="3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</w:tabs>
    </w:pPr>
  </w:style>
  <w:style w:type="paragraph" w:customStyle="1" w:styleId="Distribution">
    <w:name w:val="Distribution"/>
    <w:next w:val="Normal"/>
    <w:autoRedefine/>
    <w:qFormat/>
    <w:rsid w:val="000377A7"/>
    <w:pPr>
      <w:spacing w:before="240" w:after="0" w:line="240" w:lineRule="auto"/>
    </w:pPr>
    <w:rPr>
      <w:rFonts w:ascii="Times New Roman" w:eastAsiaTheme="minorHAnsi" w:hAnsi="Times New Roman" w:cs="Times New Roman"/>
      <w:spacing w:val="4"/>
      <w:w w:val="103"/>
      <w:kern w:val="14"/>
      <w:sz w:val="20"/>
      <w:lang w:val="en-US" w:eastAsia="en-US"/>
    </w:rPr>
  </w:style>
  <w:style w:type="character" w:styleId="EndnoteReference">
    <w:name w:val="endnote reference"/>
    <w:basedOn w:val="DefaultParagraphFont"/>
    <w:uiPriority w:val="99"/>
    <w:semiHidden/>
    <w:rsid w:val="000377A7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377A7"/>
    <w:pPr>
      <w:spacing w:line="210" w:lineRule="exact"/>
    </w:pPr>
    <w:rPr>
      <w:sz w:val="17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0377A7"/>
    <w:rPr>
      <w:rFonts w:ascii="Times New Roman" w:eastAsiaTheme="minorHAnsi" w:hAnsi="Times New Roman" w:cs="Times New Roman"/>
      <w:spacing w:val="4"/>
      <w:w w:val="103"/>
      <w:kern w:val="14"/>
      <w:sz w:val="17"/>
      <w:szCs w:val="20"/>
      <w:lang w:val="fr-CA" w:eastAsia="en-US"/>
    </w:rPr>
  </w:style>
  <w:style w:type="paragraph" w:styleId="Footer">
    <w:name w:val="footer"/>
    <w:link w:val="FooterChar"/>
    <w:uiPriority w:val="99"/>
    <w:qFormat/>
    <w:rsid w:val="000377A7"/>
    <w:pPr>
      <w:tabs>
        <w:tab w:val="center" w:pos="4320"/>
        <w:tab w:val="right" w:pos="8640"/>
      </w:tabs>
      <w:spacing w:after="0" w:line="210" w:lineRule="exact"/>
    </w:pPr>
    <w:rPr>
      <w:rFonts w:ascii="Times New Roman" w:eastAsiaTheme="minorHAnsi" w:hAnsi="Times New Roman" w:cs="Times New Roman"/>
      <w:b/>
      <w:spacing w:val="3"/>
      <w:w w:val="105"/>
      <w:sz w:val="17"/>
      <w:lang w:val="en-US" w:eastAsia="en-US"/>
    </w:rPr>
  </w:style>
  <w:style w:type="character" w:customStyle="1" w:styleId="FooterChar">
    <w:name w:val="Footer Char"/>
    <w:link w:val="Footer"/>
    <w:uiPriority w:val="99"/>
    <w:rsid w:val="000377A7"/>
    <w:rPr>
      <w:rFonts w:ascii="Times New Roman" w:eastAsiaTheme="minorHAnsi" w:hAnsi="Times New Roman" w:cs="Times New Roman"/>
      <w:b/>
      <w:spacing w:val="3"/>
      <w:w w:val="105"/>
      <w:sz w:val="17"/>
      <w:lang w:val="en-US" w:eastAsia="en-US"/>
    </w:rPr>
  </w:style>
  <w:style w:type="character" w:styleId="FootnoteReference">
    <w:name w:val="footnote reference"/>
    <w:uiPriority w:val="99"/>
    <w:semiHidden/>
    <w:rsid w:val="000377A7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FootnoteText">
    <w:name w:val="footnote text"/>
    <w:basedOn w:val="Normal"/>
    <w:link w:val="FootnoteTextChar"/>
    <w:uiPriority w:val="99"/>
    <w:rsid w:val="000377A7"/>
    <w:pPr>
      <w:spacing w:line="210" w:lineRule="exact"/>
    </w:pPr>
    <w:rPr>
      <w:sz w:val="17"/>
      <w:szCs w:val="20"/>
    </w:rPr>
  </w:style>
  <w:style w:type="character" w:customStyle="1" w:styleId="FootnoteTextChar">
    <w:name w:val="Footnote Text Char"/>
    <w:link w:val="FootnoteText"/>
    <w:uiPriority w:val="99"/>
    <w:rsid w:val="000377A7"/>
    <w:rPr>
      <w:rFonts w:ascii="Times New Roman" w:eastAsiaTheme="minorHAnsi" w:hAnsi="Times New Roman" w:cs="Times New Roman"/>
      <w:spacing w:val="4"/>
      <w:w w:val="103"/>
      <w:kern w:val="14"/>
      <w:sz w:val="17"/>
      <w:szCs w:val="20"/>
      <w:lang w:val="fr-CA" w:eastAsia="en-US"/>
    </w:rPr>
  </w:style>
  <w:style w:type="paragraph" w:styleId="Header">
    <w:name w:val="header"/>
    <w:link w:val="HeaderChar"/>
    <w:uiPriority w:val="99"/>
    <w:rsid w:val="000377A7"/>
    <w:pPr>
      <w:tabs>
        <w:tab w:val="center" w:pos="4320"/>
        <w:tab w:val="right" w:pos="8640"/>
      </w:tabs>
      <w:spacing w:after="0" w:line="210" w:lineRule="exact"/>
    </w:pPr>
    <w:rPr>
      <w:rFonts w:ascii="Times New Roman" w:eastAsiaTheme="minorHAnsi" w:hAnsi="Times New Roman" w:cs="Times New Roman"/>
      <w:spacing w:val="3"/>
      <w:w w:val="105"/>
      <w:sz w:val="17"/>
      <w:lang w:val="en-US" w:eastAsia="en-US"/>
    </w:rPr>
  </w:style>
  <w:style w:type="character" w:customStyle="1" w:styleId="HeaderChar">
    <w:name w:val="Header Char"/>
    <w:link w:val="Header"/>
    <w:uiPriority w:val="99"/>
    <w:rsid w:val="000377A7"/>
    <w:rPr>
      <w:rFonts w:ascii="Times New Roman" w:eastAsiaTheme="minorHAnsi" w:hAnsi="Times New Roman" w:cs="Times New Roman"/>
      <w:spacing w:val="3"/>
      <w:w w:val="105"/>
      <w:sz w:val="17"/>
      <w:lang w:val="en-US" w:eastAsia="en-US"/>
    </w:rPr>
  </w:style>
  <w:style w:type="character" w:customStyle="1" w:styleId="Heading1Char">
    <w:name w:val="Heading 1 Char"/>
    <w:link w:val="Heading1"/>
    <w:uiPriority w:val="9"/>
    <w:rsid w:val="000377A7"/>
    <w:rPr>
      <w:rFonts w:ascii="Arial" w:eastAsia="Times New Roman" w:hAnsi="Arial" w:cs="Times New Roman"/>
      <w:b/>
      <w:bCs/>
      <w:color w:val="365F91"/>
      <w:spacing w:val="4"/>
      <w:w w:val="103"/>
      <w:kern w:val="32"/>
      <w:sz w:val="32"/>
      <w:szCs w:val="28"/>
      <w:lang w:val="fr-CA" w:eastAsia="en-US"/>
    </w:rPr>
  </w:style>
  <w:style w:type="character" w:customStyle="1" w:styleId="Heading2Char">
    <w:name w:val="Heading 2 Char"/>
    <w:link w:val="Heading2"/>
    <w:uiPriority w:val="9"/>
    <w:rsid w:val="000377A7"/>
    <w:rPr>
      <w:rFonts w:ascii="Arial" w:eastAsia="Times New Roman" w:hAnsi="Arial" w:cs="Times New Roman"/>
      <w:b/>
      <w:bCs/>
      <w:i/>
      <w:color w:val="4F81BD"/>
      <w:spacing w:val="4"/>
      <w:w w:val="103"/>
      <w:kern w:val="14"/>
      <w:sz w:val="28"/>
      <w:szCs w:val="26"/>
      <w:lang w:val="fr-CA" w:eastAsia="en-US"/>
    </w:rPr>
  </w:style>
  <w:style w:type="character" w:customStyle="1" w:styleId="Heading3Char">
    <w:name w:val="Heading 3 Char"/>
    <w:link w:val="Heading3"/>
    <w:uiPriority w:val="9"/>
    <w:rsid w:val="000377A7"/>
    <w:rPr>
      <w:rFonts w:ascii="Arial" w:eastAsia="Times New Roman" w:hAnsi="Arial" w:cs="Times New Roman"/>
      <w:b/>
      <w:bCs/>
      <w:color w:val="4F81BD"/>
      <w:spacing w:val="4"/>
      <w:w w:val="103"/>
      <w:kern w:val="14"/>
      <w:sz w:val="26"/>
      <w:lang w:val="fr-CA" w:eastAsia="en-US"/>
    </w:rPr>
  </w:style>
  <w:style w:type="character" w:customStyle="1" w:styleId="Heading4Char">
    <w:name w:val="Heading 4 Char"/>
    <w:link w:val="Heading4"/>
    <w:uiPriority w:val="9"/>
    <w:rsid w:val="000377A7"/>
    <w:rPr>
      <w:rFonts w:ascii="Cambria" w:eastAsia="Times New Roman" w:hAnsi="Cambria" w:cs="Times New Roman"/>
      <w:b/>
      <w:bCs/>
      <w:i/>
      <w:iCs/>
      <w:color w:val="4F81BD"/>
      <w:spacing w:val="4"/>
      <w:w w:val="103"/>
      <w:kern w:val="14"/>
      <w:sz w:val="20"/>
      <w:lang w:val="fr-CA" w:eastAsia="en-US"/>
    </w:rPr>
  </w:style>
  <w:style w:type="character" w:customStyle="1" w:styleId="Heading5Char">
    <w:name w:val="Heading 5 Char"/>
    <w:link w:val="Heading5"/>
    <w:uiPriority w:val="9"/>
    <w:rsid w:val="000377A7"/>
    <w:rPr>
      <w:rFonts w:ascii="Cambria" w:eastAsia="Times New Roman" w:hAnsi="Cambria" w:cs="Times New Roman"/>
      <w:color w:val="243F60"/>
      <w:spacing w:val="4"/>
      <w:w w:val="103"/>
      <w:kern w:val="14"/>
      <w:sz w:val="20"/>
      <w:lang w:val="fr-CA" w:eastAsia="en-US"/>
    </w:rPr>
  </w:style>
  <w:style w:type="character" w:customStyle="1" w:styleId="Heading6Char">
    <w:name w:val="Heading 6 Char"/>
    <w:link w:val="Heading6"/>
    <w:uiPriority w:val="9"/>
    <w:rsid w:val="000377A7"/>
    <w:rPr>
      <w:rFonts w:ascii="Cambria" w:eastAsia="Times New Roman" w:hAnsi="Cambria" w:cs="Times New Roman"/>
      <w:i/>
      <w:iCs/>
      <w:color w:val="243F60"/>
      <w:spacing w:val="4"/>
      <w:w w:val="103"/>
      <w:kern w:val="14"/>
      <w:sz w:val="20"/>
      <w:lang w:val="fr-CA" w:eastAsia="en-US"/>
    </w:rPr>
  </w:style>
  <w:style w:type="character" w:customStyle="1" w:styleId="Heading7Char">
    <w:name w:val="Heading 7 Char"/>
    <w:link w:val="Heading7"/>
    <w:uiPriority w:val="9"/>
    <w:semiHidden/>
    <w:rsid w:val="000377A7"/>
    <w:rPr>
      <w:rFonts w:ascii="Cambria" w:eastAsia="Times New Roman" w:hAnsi="Cambria" w:cs="Times New Roman"/>
      <w:i/>
      <w:iCs/>
      <w:color w:val="404040"/>
      <w:spacing w:val="4"/>
      <w:w w:val="103"/>
      <w:kern w:val="14"/>
      <w:sz w:val="20"/>
      <w:lang w:val="fr-CA" w:eastAsia="en-US"/>
    </w:rPr>
  </w:style>
  <w:style w:type="character" w:customStyle="1" w:styleId="Heading8Char">
    <w:name w:val="Heading 8 Char"/>
    <w:link w:val="Heading8"/>
    <w:uiPriority w:val="9"/>
    <w:semiHidden/>
    <w:rsid w:val="000377A7"/>
    <w:rPr>
      <w:rFonts w:ascii="Cambria" w:eastAsia="Times New Roman" w:hAnsi="Cambria" w:cs="Times New Roman"/>
      <w:color w:val="404040"/>
      <w:spacing w:val="4"/>
      <w:w w:val="103"/>
      <w:kern w:val="14"/>
      <w:sz w:val="20"/>
      <w:szCs w:val="20"/>
      <w:lang w:val="fr-CA" w:eastAsia="en-US"/>
    </w:rPr>
  </w:style>
  <w:style w:type="character" w:customStyle="1" w:styleId="Heading9Char">
    <w:name w:val="Heading 9 Char"/>
    <w:link w:val="Heading9"/>
    <w:uiPriority w:val="9"/>
    <w:semiHidden/>
    <w:rsid w:val="000377A7"/>
    <w:rPr>
      <w:rFonts w:ascii="Cambria" w:eastAsia="Times New Roman" w:hAnsi="Cambria" w:cs="Times New Roman"/>
      <w:i/>
      <w:iCs/>
      <w:color w:val="404040"/>
      <w:spacing w:val="4"/>
      <w:w w:val="103"/>
      <w:kern w:val="14"/>
      <w:sz w:val="20"/>
      <w:szCs w:val="20"/>
      <w:lang w:val="fr-CA" w:eastAsia="en-US"/>
    </w:rPr>
  </w:style>
  <w:style w:type="character" w:styleId="LineNumber">
    <w:name w:val="line number"/>
    <w:uiPriority w:val="99"/>
    <w:qFormat/>
    <w:rsid w:val="000377A7"/>
    <w:rPr>
      <w:sz w:val="14"/>
    </w:rPr>
  </w:style>
  <w:style w:type="paragraph" w:styleId="ListParagraph">
    <w:name w:val="List Paragraph"/>
    <w:basedOn w:val="Normal"/>
    <w:uiPriority w:val="34"/>
    <w:rsid w:val="000377A7"/>
    <w:pPr>
      <w:ind w:left="720"/>
      <w:contextualSpacing/>
    </w:pPr>
  </w:style>
  <w:style w:type="paragraph" w:styleId="NoSpacing">
    <w:name w:val="No Spacing"/>
    <w:uiPriority w:val="1"/>
    <w:rsid w:val="000377A7"/>
    <w:pPr>
      <w:spacing w:after="0" w:line="240" w:lineRule="auto"/>
    </w:pPr>
    <w:rPr>
      <w:rFonts w:ascii="Calibri" w:eastAsiaTheme="minorHAnsi" w:hAnsi="Calibri" w:cs="Times New Roman"/>
      <w:lang w:val="en-US" w:eastAsia="en-US"/>
    </w:rPr>
  </w:style>
  <w:style w:type="paragraph" w:customStyle="1" w:styleId="Original">
    <w:name w:val="Original"/>
    <w:next w:val="Normal"/>
    <w:autoRedefine/>
    <w:qFormat/>
    <w:rsid w:val="000377A7"/>
    <w:pPr>
      <w:spacing w:after="0" w:line="240" w:lineRule="auto"/>
    </w:pPr>
    <w:rPr>
      <w:rFonts w:ascii="Times New Roman" w:eastAsiaTheme="minorHAnsi" w:hAnsi="Times New Roman" w:cs="Times New Roman"/>
      <w:spacing w:val="4"/>
      <w:w w:val="103"/>
      <w:kern w:val="14"/>
      <w:sz w:val="20"/>
      <w:lang w:val="en-US" w:eastAsia="en-US"/>
    </w:rPr>
  </w:style>
  <w:style w:type="paragraph" w:customStyle="1" w:styleId="Publication">
    <w:name w:val="Publication"/>
    <w:next w:val="Normal"/>
    <w:autoRedefine/>
    <w:qFormat/>
    <w:rsid w:val="000377A7"/>
    <w:pPr>
      <w:spacing w:after="0" w:line="240" w:lineRule="auto"/>
    </w:pPr>
    <w:rPr>
      <w:rFonts w:ascii="Times New Roman" w:eastAsiaTheme="minorHAnsi" w:hAnsi="Times New Roman" w:cs="Times New Roman"/>
      <w:spacing w:val="4"/>
      <w:w w:val="103"/>
      <w:kern w:val="14"/>
      <w:sz w:val="20"/>
      <w:lang w:val="en-US" w:eastAsia="en-US"/>
    </w:rPr>
  </w:style>
  <w:style w:type="paragraph" w:customStyle="1" w:styleId="ReleaseDate">
    <w:name w:val="Release Date"/>
    <w:next w:val="Normal"/>
    <w:autoRedefine/>
    <w:qFormat/>
    <w:rsid w:val="000377A7"/>
    <w:pPr>
      <w:spacing w:after="0" w:line="240" w:lineRule="auto"/>
    </w:pPr>
    <w:rPr>
      <w:rFonts w:ascii="Times New Roman" w:eastAsiaTheme="minorHAnsi" w:hAnsi="Times New Roman" w:cs="Times New Roman"/>
      <w:spacing w:val="-3"/>
      <w:w w:val="99"/>
      <w:kern w:val="14"/>
      <w:sz w:val="20"/>
      <w:lang w:val="en-US" w:eastAsia="en-US"/>
    </w:rPr>
  </w:style>
  <w:style w:type="paragraph" w:customStyle="1" w:styleId="Small">
    <w:name w:val="Small"/>
    <w:basedOn w:val="Normal"/>
    <w:next w:val="Normal"/>
    <w:qFormat/>
    <w:rsid w:val="000377A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0377A7"/>
    <w:pPr>
      <w:spacing w:line="180" w:lineRule="exact"/>
      <w:jc w:val="right"/>
    </w:pPr>
    <w:rPr>
      <w:spacing w:val="6"/>
      <w:w w:val="106"/>
      <w:sz w:val="14"/>
    </w:rPr>
  </w:style>
  <w:style w:type="character" w:styleId="Strong">
    <w:name w:val="Strong"/>
    <w:uiPriority w:val="22"/>
    <w:rsid w:val="000377A7"/>
    <w:rPr>
      <w:b/>
      <w:bCs/>
    </w:rPr>
  </w:style>
  <w:style w:type="paragraph" w:customStyle="1" w:styleId="Style1">
    <w:name w:val="Style1"/>
    <w:basedOn w:val="Normal"/>
    <w:qFormat/>
    <w:rsid w:val="000377A7"/>
  </w:style>
  <w:style w:type="paragraph" w:customStyle="1" w:styleId="Style2">
    <w:name w:val="Style2"/>
    <w:basedOn w:val="Normal"/>
    <w:autoRedefine/>
    <w:qFormat/>
    <w:rsid w:val="000377A7"/>
  </w:style>
  <w:style w:type="paragraph" w:customStyle="1" w:styleId="TitleHCH">
    <w:name w:val="Title_H_CH"/>
    <w:basedOn w:val="H1"/>
    <w:next w:val="Normal"/>
    <w:qFormat/>
    <w:rsid w:val="000377A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line="300" w:lineRule="exact"/>
      <w:ind w:left="1267" w:right="1267" w:hanging="1267"/>
    </w:pPr>
    <w:rPr>
      <w:spacing w:val="2"/>
      <w:sz w:val="28"/>
    </w:rPr>
  </w:style>
  <w:style w:type="paragraph" w:customStyle="1" w:styleId="TitleH2">
    <w:name w:val="Title_H2"/>
    <w:basedOn w:val="H1"/>
    <w:next w:val="Normal"/>
    <w:qFormat/>
    <w:rsid w:val="000377A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line="240" w:lineRule="exact"/>
      <w:outlineLvl w:val="1"/>
    </w:pPr>
    <w:rPr>
      <w:spacing w:val="2"/>
      <w:sz w:val="20"/>
    </w:rPr>
  </w:style>
  <w:style w:type="paragraph" w:customStyle="1" w:styleId="XLarge">
    <w:name w:val="XLarge"/>
    <w:basedOn w:val="HM"/>
    <w:qFormat/>
    <w:rsid w:val="000377A7"/>
    <w:pPr>
      <w:tabs>
        <w:tab w:val="right" w:pos="360"/>
      </w:tabs>
      <w:spacing w:line="390" w:lineRule="exact"/>
    </w:pPr>
    <w:rPr>
      <w:spacing w:val="-4"/>
      <w:w w:val="98"/>
      <w:sz w:val="40"/>
    </w:rPr>
  </w:style>
  <w:style w:type="paragraph" w:customStyle="1" w:styleId="Session">
    <w:name w:val="Session"/>
    <w:basedOn w:val="H23"/>
    <w:qFormat/>
    <w:rsid w:val="002478A0"/>
    <w:rPr>
      <w:lang w:val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7045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453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4537"/>
    <w:rPr>
      <w:rFonts w:ascii="Times New Roman" w:eastAsiaTheme="minorHAnsi" w:hAnsi="Times New Roman" w:cs="Times New Roman"/>
      <w:spacing w:val="4"/>
      <w:w w:val="103"/>
      <w:kern w:val="14"/>
      <w:sz w:val="20"/>
      <w:szCs w:val="20"/>
      <w:lang w:val="fr-CA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45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4537"/>
    <w:rPr>
      <w:rFonts w:ascii="Times New Roman" w:eastAsiaTheme="minorHAnsi" w:hAnsi="Times New Roman" w:cs="Times New Roman"/>
      <w:b/>
      <w:bCs/>
      <w:spacing w:val="4"/>
      <w:w w:val="103"/>
      <w:kern w:val="14"/>
      <w:sz w:val="20"/>
      <w:szCs w:val="20"/>
      <w:lang w:val="fr-CA" w:eastAsia="en-US"/>
    </w:rPr>
  </w:style>
  <w:style w:type="character" w:styleId="Hyperlink">
    <w:name w:val="Hyperlink"/>
    <w:basedOn w:val="DefaultParagraphFont"/>
    <w:uiPriority w:val="99"/>
    <w:unhideWhenUsed/>
    <w:rsid w:val="00536B5A"/>
    <w:rPr>
      <w:color w:val="0000FF" w:themeColor="hyperlink"/>
      <w:u w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536B5A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B57088"/>
    <w:rPr>
      <w:color w:val="0000FF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s://undocs.org/fr/ST/SGB/230" TargetMode="External"/><Relationship Id="rId18" Type="http://schemas.openxmlformats.org/officeDocument/2006/relationships/hyperlink" Target="http://undocs.org/ST/SGB/2009/8" TargetMode="External"/><Relationship Id="rId26" Type="http://schemas.openxmlformats.org/officeDocument/2006/relationships/hyperlink" Target="https://undocs.org/fr/ST/SGB/2005/17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undocs.org/fr/ST/SGB/2000/16" TargetMode="External"/><Relationship Id="rId34" Type="http://schemas.openxmlformats.org/officeDocument/2006/relationships/hyperlink" Target="https://undocs.org/fr/ST/SGB/2009/11" TargetMode="Externa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yperlink" Target="http://undocs.org/ST/SGB/2008/3" TargetMode="External"/><Relationship Id="rId25" Type="http://schemas.openxmlformats.org/officeDocument/2006/relationships/hyperlink" Target="https://undocs.org/fr/ST/SGB/2003/19" TargetMode="External"/><Relationship Id="rId33" Type="http://schemas.openxmlformats.org/officeDocument/2006/relationships/hyperlink" Target="https://undocs.org/fr/ST/SGB/2009/10" TargetMode="External"/><Relationship Id="rId38" Type="http://schemas.openxmlformats.org/officeDocument/2006/relationships/hyperlink" Target="https://undocs.org/fr/ST/SGB/2017/1" TargetMode="External"/><Relationship Id="rId2" Type="http://schemas.openxmlformats.org/officeDocument/2006/relationships/styles" Target="styles.xml"/><Relationship Id="rId16" Type="http://schemas.openxmlformats.org/officeDocument/2006/relationships/hyperlink" Target="https://undocs.org/fr/ST/SGB/267" TargetMode="External"/><Relationship Id="rId20" Type="http://schemas.openxmlformats.org/officeDocument/2006/relationships/hyperlink" Target="https://undocs.org/fr/ST/SGB/1999/11" TargetMode="External"/><Relationship Id="rId29" Type="http://schemas.openxmlformats.org/officeDocument/2006/relationships/hyperlink" Target="https://undocs.org/fr/ST/SGB/2006/16/Amend.2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hyperlink" Target="https://undocs.org/fr/ST/SGB/2001/4" TargetMode="External"/><Relationship Id="rId32" Type="http://schemas.openxmlformats.org/officeDocument/2006/relationships/hyperlink" Target="https://undocs.org/fr/ST/SGB/2007/12" TargetMode="External"/><Relationship Id="rId37" Type="http://schemas.openxmlformats.org/officeDocument/2006/relationships/hyperlink" Target="https://undocs.org/fr/ST/SGB/2016/12" TargetMode="Externa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undocs.org/fr/ST/SGB/259" TargetMode="External"/><Relationship Id="rId23" Type="http://schemas.openxmlformats.org/officeDocument/2006/relationships/hyperlink" Target="https://undocs.org/fr/ST/SGB/2002/17" TargetMode="External"/><Relationship Id="rId28" Type="http://schemas.openxmlformats.org/officeDocument/2006/relationships/hyperlink" Target="https://undocs.org/fr/ST/SGB/2006/16/Amend.1" TargetMode="External"/><Relationship Id="rId36" Type="http://schemas.openxmlformats.org/officeDocument/2006/relationships/hyperlink" Target="https://undocs.org/fr/ST/SGB/2015/2" TargetMode="External"/><Relationship Id="rId10" Type="http://schemas.openxmlformats.org/officeDocument/2006/relationships/footer" Target="footer2.xml"/><Relationship Id="rId19" Type="http://schemas.openxmlformats.org/officeDocument/2006/relationships/hyperlink" Target="https://undocs.org/fr/ST/SGB/1998/6" TargetMode="External"/><Relationship Id="rId31" Type="http://schemas.openxmlformats.org/officeDocument/2006/relationships/hyperlink" Target="https://undocs.org/fr/ST/SGB/2006/16/Amend.4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s://undocs.org/fr/ST/SGB/242" TargetMode="External"/><Relationship Id="rId22" Type="http://schemas.openxmlformats.org/officeDocument/2006/relationships/hyperlink" Target="https://undocs.org/fr/ST/SGB/2001/4" TargetMode="External"/><Relationship Id="rId27" Type="http://schemas.openxmlformats.org/officeDocument/2006/relationships/hyperlink" Target="https://undocs.org/fr/ST/SGB/2005/20" TargetMode="External"/><Relationship Id="rId30" Type="http://schemas.openxmlformats.org/officeDocument/2006/relationships/hyperlink" Target="https://undocs.org/fr/ST/SGB/2006/16/Amend.3" TargetMode="External"/><Relationship Id="rId35" Type="http://schemas.openxmlformats.org/officeDocument/2006/relationships/hyperlink" Target="https://undocs.org/fr/ST/SGB/2011/5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undocs.org/fr/ST/SGB/2018/1" TargetMode="External"/><Relationship Id="rId1" Type="http://schemas.openxmlformats.org/officeDocument/2006/relationships/hyperlink" Target="https://undocs.org/fr/ST/IC/2017/17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836</Words>
  <Characters>4768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Bonnevialle</dc:creator>
  <cp:keywords/>
  <dc:description/>
  <cp:lastModifiedBy>Diana Guiu</cp:lastModifiedBy>
  <cp:revision>2</cp:revision>
  <cp:lastPrinted>2018-01-05T16:38:00Z</cp:lastPrinted>
  <dcterms:created xsi:type="dcterms:W3CDTF">2018-01-12T16:01:00Z</dcterms:created>
  <dcterms:modified xsi:type="dcterms:W3CDTF">2018-01-12T16:01:00Z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1800045F</vt:lpwstr>
  </property>
  <property fmtid="{D5CDD505-2E9C-101B-9397-08002B2CF9AE}" pid="3" name="ODSRefJobNo">
    <vt:lpwstr>1800100F</vt:lpwstr>
  </property>
  <property fmtid="{D5CDD505-2E9C-101B-9397-08002B2CF9AE}" pid="4" name="Symbol1">
    <vt:lpwstr>ST/SGB/2017/3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Category">
    <vt:lpwstr>Document</vt:lpwstr>
  </property>
  <property fmtid="{D5CDD505-2E9C-101B-9397-08002B2CF9AE}" pid="8" name="Language">
    <vt:lpwstr>French</vt:lpwstr>
  </property>
  <property fmtid="{D5CDD505-2E9C-101B-9397-08002B2CF9AE}" pid="9" name="Comment">
    <vt:lpwstr/>
  </property>
  <property fmtid="{D5CDD505-2E9C-101B-9397-08002B2CF9AE}" pid="10" name="DraftPages">
    <vt:lpwstr> </vt:lpwstr>
  </property>
  <property fmtid="{D5CDD505-2E9C-101B-9397-08002B2CF9AE}" pid="11" name="Operator">
    <vt:lpwstr>sbc</vt:lpwstr>
  </property>
  <property fmtid="{D5CDD505-2E9C-101B-9397-08002B2CF9AE}" pid="12" name="Publication Date">
    <vt:lpwstr>29 décembre 2017</vt:lpwstr>
  </property>
  <property fmtid="{D5CDD505-2E9C-101B-9397-08002B2CF9AE}" pid="13" name="Release Date">
    <vt:lpwstr>050118</vt:lpwstr>
  </property>
  <property fmtid="{D5CDD505-2E9C-101B-9397-08002B2CF9AE}" pid="14" name="Title1">
    <vt:lpwstr>		Circulaire du Secrétaire général_x000d_</vt:lpwstr>
  </property>
  <property fmtid="{D5CDD505-2E9C-101B-9397-08002B2CF9AE}" pid="15" name="Title2">
    <vt:lpwstr>		Abolition de circulaires du Secrétaire général obsolètes_x000d_</vt:lpwstr>
  </property>
</Properties>
</file>