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629B6" w14:textId="77777777" w:rsidR="00826FB2" w:rsidRDefault="00826FB2" w:rsidP="00826FB2">
      <w:pPr>
        <w:spacing w:line="240" w:lineRule="auto"/>
        <w:rPr>
          <w:sz w:val="2"/>
        </w:rPr>
        <w:sectPr w:rsidR="00826FB2" w:rsidSect="00406E75">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5204D117" w14:textId="03AEFFE3" w:rsidR="00406E75" w:rsidRPr="00406E75" w:rsidRDefault="00406E75" w:rsidP="00406E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6E75">
        <w:t>Circulaire du Secrétaire général</w:t>
      </w:r>
    </w:p>
    <w:p w14:paraId="1DD62EEF" w14:textId="6B9B47C2" w:rsidR="00406E75" w:rsidRPr="00406E75" w:rsidRDefault="00406E75" w:rsidP="00406E75">
      <w:pPr>
        <w:pStyle w:val="SingleTxt"/>
        <w:spacing w:after="0" w:line="120" w:lineRule="exact"/>
        <w:rPr>
          <w:sz w:val="10"/>
        </w:rPr>
      </w:pPr>
    </w:p>
    <w:p w14:paraId="3F1CC255" w14:textId="4D57FD3C" w:rsidR="00406E75" w:rsidRPr="00406E75" w:rsidRDefault="00406E75" w:rsidP="00406E75">
      <w:pPr>
        <w:pStyle w:val="SingleTxt"/>
        <w:spacing w:after="0" w:line="120" w:lineRule="exact"/>
        <w:rPr>
          <w:sz w:val="10"/>
        </w:rPr>
      </w:pPr>
      <w:bookmarkStart w:id="0" w:name="_GoBack"/>
      <w:bookmarkEnd w:id="0"/>
    </w:p>
    <w:p w14:paraId="006A7DCD" w14:textId="073A0625" w:rsidR="00406E75" w:rsidRPr="00406E75" w:rsidRDefault="00406E75" w:rsidP="00406E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6E75">
        <w:tab/>
      </w:r>
      <w:r w:rsidRPr="00406E75">
        <w:tab/>
        <w:t>Mise en place d</w:t>
      </w:r>
      <w:r w:rsidR="00034E28">
        <w:t>’</w:t>
      </w:r>
      <w:r w:rsidRPr="00406E75">
        <w:t xml:space="preserve">un nouveau dispositif de sélection </w:t>
      </w:r>
      <w:r w:rsidRPr="00406E75">
        <w:br/>
        <w:t>du personnel et d</w:t>
      </w:r>
      <w:r w:rsidR="00034E28">
        <w:t>’</w:t>
      </w:r>
      <w:r w:rsidRPr="00406E75">
        <w:t>encadrement de la mobilité</w:t>
      </w:r>
    </w:p>
    <w:p w14:paraId="1068DCF8" w14:textId="791DA9D1" w:rsidR="00406E75" w:rsidRPr="00406E75" w:rsidRDefault="00406E75" w:rsidP="00406E75">
      <w:pPr>
        <w:pStyle w:val="SingleTxt"/>
        <w:spacing w:after="0" w:line="120" w:lineRule="exact"/>
        <w:rPr>
          <w:sz w:val="10"/>
        </w:rPr>
      </w:pPr>
    </w:p>
    <w:p w14:paraId="0208BF60" w14:textId="24A27083" w:rsidR="00406E75" w:rsidRPr="00406E75" w:rsidRDefault="00406E75" w:rsidP="00406E75">
      <w:pPr>
        <w:pStyle w:val="SingleTxt"/>
        <w:spacing w:after="0" w:line="120" w:lineRule="exact"/>
        <w:rPr>
          <w:sz w:val="10"/>
        </w:rPr>
      </w:pPr>
    </w:p>
    <w:p w14:paraId="55167478" w14:textId="32BA6802" w:rsidR="00406E75" w:rsidRPr="00406E75" w:rsidRDefault="00406E75" w:rsidP="00406E75">
      <w:pPr>
        <w:pStyle w:val="SingleTxt"/>
        <w:rPr>
          <w:lang w:val="fr-FR"/>
        </w:rPr>
      </w:pPr>
      <w:r w:rsidRPr="00406E75">
        <w:rPr>
          <w:lang w:val="fr-FR"/>
        </w:rPr>
        <w:tab/>
        <w:t>Aux fins de l</w:t>
      </w:r>
      <w:r w:rsidR="00034E28">
        <w:rPr>
          <w:lang w:val="fr-FR"/>
        </w:rPr>
        <w:t>’</w:t>
      </w:r>
      <w:r w:rsidRPr="00406E75">
        <w:rPr>
          <w:lang w:val="fr-FR"/>
        </w:rPr>
        <w:t xml:space="preserve">application de la résolution </w:t>
      </w:r>
      <w:hyperlink r:id="rId13" w:history="1">
        <w:r w:rsidRPr="00034E28">
          <w:rPr>
            <w:rStyle w:val="Hyperlink"/>
            <w:lang w:val="fr-FR"/>
          </w:rPr>
          <w:t>68/265</w:t>
        </w:r>
      </w:hyperlink>
      <w:r w:rsidRPr="00406E75">
        <w:rPr>
          <w:lang w:val="fr-FR"/>
        </w:rPr>
        <w:t xml:space="preserve"> de l</w:t>
      </w:r>
      <w:r w:rsidR="00034E28">
        <w:rPr>
          <w:lang w:val="fr-FR"/>
        </w:rPr>
        <w:t>’</w:t>
      </w:r>
      <w:r w:rsidRPr="00406E75">
        <w:rPr>
          <w:lang w:val="fr-FR"/>
        </w:rPr>
        <w:t>Assemblée générale, le Secrétaire général promulgue ce qui suit :</w:t>
      </w:r>
    </w:p>
    <w:p w14:paraId="597EFE31" w14:textId="7F9377C9" w:rsidR="00406E75" w:rsidRPr="00406E75" w:rsidRDefault="00406E75" w:rsidP="00406E75">
      <w:pPr>
        <w:pStyle w:val="SingleTxt"/>
        <w:numPr>
          <w:ilvl w:val="0"/>
          <w:numId w:val="17"/>
        </w:numPr>
        <w:spacing w:line="240" w:lineRule="exact"/>
        <w:ind w:left="1267"/>
        <w:rPr>
          <w:bCs/>
          <w:lang w:val="fr-FR"/>
        </w:rPr>
      </w:pPr>
      <w:r w:rsidRPr="00406E75">
        <w:rPr>
          <w:lang w:val="fr-FR"/>
        </w:rPr>
        <w:t>Pour s</w:t>
      </w:r>
      <w:r w:rsidR="00034E28">
        <w:rPr>
          <w:lang w:val="fr-FR"/>
        </w:rPr>
        <w:t>’</w:t>
      </w:r>
      <w:r w:rsidRPr="00406E75">
        <w:rPr>
          <w:lang w:val="fr-FR"/>
        </w:rPr>
        <w:t>acquitter des mandats qui lui sont confiés, l</w:t>
      </w:r>
      <w:r w:rsidR="00034E28">
        <w:rPr>
          <w:lang w:val="fr-FR"/>
        </w:rPr>
        <w:t>’</w:t>
      </w:r>
      <w:r w:rsidRPr="00406E75">
        <w:rPr>
          <w:lang w:val="fr-FR"/>
        </w:rPr>
        <w:t>Organisation des Nations Unies doit pouvoir compter sur des fonctionnaires dynamiques, adaptables et mobiles. Le nouveau dispositif de sélection du personnel et d</w:t>
      </w:r>
      <w:r w:rsidR="00034E28">
        <w:rPr>
          <w:lang w:val="fr-FR"/>
        </w:rPr>
        <w:t>’</w:t>
      </w:r>
      <w:r w:rsidRPr="00406E75">
        <w:rPr>
          <w:lang w:val="fr-FR"/>
        </w:rPr>
        <w:t>encadrement de la mobilité aidera l</w:t>
      </w:r>
      <w:r w:rsidR="00034E28">
        <w:rPr>
          <w:lang w:val="fr-FR"/>
        </w:rPr>
        <w:t>’</w:t>
      </w:r>
      <w:r w:rsidRPr="00406E75">
        <w:rPr>
          <w:lang w:val="fr-FR"/>
        </w:rPr>
        <w:t>Organisation à s</w:t>
      </w:r>
      <w:r w:rsidR="00034E28">
        <w:rPr>
          <w:lang w:val="fr-FR"/>
        </w:rPr>
        <w:t>’</w:t>
      </w:r>
      <w:r w:rsidRPr="00406E75">
        <w:rPr>
          <w:lang w:val="fr-FR"/>
        </w:rPr>
        <w:t>acquitter de ses mandats et lui permettra ainsi qu</w:t>
      </w:r>
      <w:r w:rsidR="00034E28">
        <w:rPr>
          <w:lang w:val="fr-FR"/>
        </w:rPr>
        <w:t>’</w:t>
      </w:r>
      <w:r w:rsidRPr="00406E75">
        <w:rPr>
          <w:lang w:val="fr-FR"/>
        </w:rPr>
        <w:t>aux fonctionnaires de tirer systématiquement profit des possibilités offertes par la mobilité.</w:t>
      </w:r>
    </w:p>
    <w:p w14:paraId="77EA70D1" w14:textId="7E617E66" w:rsidR="00406E75" w:rsidRPr="00406E75" w:rsidRDefault="00406E75" w:rsidP="00406E75">
      <w:pPr>
        <w:pStyle w:val="SingleTxt"/>
        <w:numPr>
          <w:ilvl w:val="0"/>
          <w:numId w:val="17"/>
        </w:numPr>
        <w:spacing w:line="240" w:lineRule="exact"/>
        <w:ind w:left="1267"/>
        <w:rPr>
          <w:lang w:val="fr-FR"/>
        </w:rPr>
      </w:pPr>
      <w:r w:rsidRPr="00406E75">
        <w:rPr>
          <w:lang w:val="fr-FR"/>
        </w:rPr>
        <w:t>Le nouveau dispositif de sélection du personnel et d</w:t>
      </w:r>
      <w:r w:rsidR="00034E28">
        <w:rPr>
          <w:lang w:val="fr-FR"/>
        </w:rPr>
        <w:t>’</w:t>
      </w:r>
      <w:r w:rsidRPr="00406E75">
        <w:rPr>
          <w:lang w:val="fr-FR"/>
        </w:rPr>
        <w:t>encadrement de la mobilité régit l</w:t>
      </w:r>
      <w:r w:rsidR="00034E28">
        <w:rPr>
          <w:lang w:val="fr-FR"/>
        </w:rPr>
        <w:t>’</w:t>
      </w:r>
      <w:r w:rsidRPr="00406E75">
        <w:rPr>
          <w:lang w:val="fr-FR"/>
        </w:rPr>
        <w:t>attribution des postes vacants et, dans le cadre de l</w:t>
      </w:r>
      <w:r w:rsidR="00034E28">
        <w:rPr>
          <w:lang w:val="fr-FR"/>
        </w:rPr>
        <w:t>’</w:t>
      </w:r>
      <w:r w:rsidRPr="00406E75">
        <w:rPr>
          <w:lang w:val="fr-FR"/>
        </w:rPr>
        <w:t>encadrement de la mobilité, la réaffectation des fonctionnaires appartenant à la catégorie des administrateurs et des fonctionnaires de rang supérieur (jusqu</w:t>
      </w:r>
      <w:r w:rsidR="00034E28">
        <w:rPr>
          <w:lang w:val="fr-FR"/>
        </w:rPr>
        <w:t>’</w:t>
      </w:r>
      <w:r w:rsidRPr="00406E75">
        <w:rPr>
          <w:lang w:val="fr-FR"/>
        </w:rPr>
        <w:t xml:space="preserve">à la classe D-2) ou à celle du Service mobile qui remplissent les conditions voulues et qui relèvent des unités administratives du Secrétariat définies à la section 3 de la circulaire du Secrétaire général </w:t>
      </w:r>
      <w:hyperlink r:id="rId14" w:history="1">
        <w:r w:rsidRPr="00406E75">
          <w:rPr>
            <w:rStyle w:val="Hyperlink"/>
            <w:lang w:val="fr-FR"/>
          </w:rPr>
          <w:t>ST/SGB/2015/3</w:t>
        </w:r>
      </w:hyperlink>
      <w:r w:rsidRPr="00406E75">
        <w:rPr>
          <w:lang w:val="fr-FR"/>
        </w:rPr>
        <w:t>.</w:t>
      </w:r>
    </w:p>
    <w:p w14:paraId="77F70C04" w14:textId="57DACCB7" w:rsidR="00406E75" w:rsidRPr="00406E75" w:rsidRDefault="00406E75" w:rsidP="00034E28">
      <w:pPr>
        <w:pStyle w:val="SingleTxt"/>
        <w:numPr>
          <w:ilvl w:val="0"/>
          <w:numId w:val="17"/>
        </w:numPr>
        <w:spacing w:line="240" w:lineRule="exact"/>
        <w:ind w:left="1267"/>
        <w:rPr>
          <w:lang w:val="fr-FR"/>
        </w:rPr>
      </w:pPr>
      <w:r w:rsidRPr="00406E75">
        <w:rPr>
          <w:lang w:val="fr-FR"/>
        </w:rPr>
        <w:t xml:space="preserve">Le nouveau dispositif est administré par un mécanisme de prise de décision centralisé, comprenant des organes centraux. </w:t>
      </w:r>
    </w:p>
    <w:p w14:paraId="5B94ECAA" w14:textId="7D3B1CD1" w:rsidR="00406E75" w:rsidRPr="00406E75" w:rsidRDefault="00406E75" w:rsidP="00034E28">
      <w:pPr>
        <w:pStyle w:val="SingleTxt"/>
        <w:numPr>
          <w:ilvl w:val="0"/>
          <w:numId w:val="17"/>
        </w:numPr>
        <w:spacing w:line="240" w:lineRule="exact"/>
        <w:ind w:left="1267"/>
        <w:rPr>
          <w:lang w:val="fr-FR"/>
        </w:rPr>
      </w:pPr>
      <w:r w:rsidRPr="00406E75">
        <w:rPr>
          <w:lang w:val="fr-FR"/>
        </w:rPr>
        <w:t>Le nouveau dispositif, qui est entré progressivement en application depuis le 1</w:t>
      </w:r>
      <w:r w:rsidRPr="00406E75">
        <w:rPr>
          <w:vertAlign w:val="superscript"/>
          <w:lang w:val="fr-FR"/>
        </w:rPr>
        <w:t>er</w:t>
      </w:r>
      <w:r w:rsidRPr="00406E75">
        <w:rPr>
          <w:lang w:val="fr-FR"/>
        </w:rPr>
        <w:t> janvier 2016 dans les différents réseaux d</w:t>
      </w:r>
      <w:r w:rsidR="00034E28">
        <w:rPr>
          <w:lang w:val="fr-FR"/>
        </w:rPr>
        <w:t>’</w:t>
      </w:r>
      <w:r w:rsidRPr="00406E75">
        <w:rPr>
          <w:lang w:val="fr-FR"/>
        </w:rPr>
        <w:t>emplois dont il est question au paragraphe 6, régit les modalités d</w:t>
      </w:r>
      <w:r w:rsidR="00034E28">
        <w:rPr>
          <w:lang w:val="fr-FR"/>
        </w:rPr>
        <w:t>’</w:t>
      </w:r>
      <w:r w:rsidRPr="00406E75">
        <w:rPr>
          <w:lang w:val="fr-FR"/>
        </w:rPr>
        <w:t>attribution des postes vacants et, dans le cadre de l</w:t>
      </w:r>
      <w:r w:rsidR="00034E28">
        <w:rPr>
          <w:lang w:val="fr-FR"/>
        </w:rPr>
        <w:t>’</w:t>
      </w:r>
      <w:r w:rsidRPr="00406E75">
        <w:rPr>
          <w:lang w:val="fr-FR"/>
        </w:rPr>
        <w:t>encadrement de la mobilité, la réaffectation des fonctionnaires relevant des réseaux d</w:t>
      </w:r>
      <w:r w:rsidR="00034E28">
        <w:rPr>
          <w:lang w:val="fr-FR"/>
        </w:rPr>
        <w:t>’</w:t>
      </w:r>
      <w:r w:rsidRPr="00406E75">
        <w:rPr>
          <w:lang w:val="fr-FR"/>
        </w:rPr>
        <w:t>emplois pour lesquels le dispositif est entré en vigueur, comme en fait l</w:t>
      </w:r>
      <w:r w:rsidR="00034E28">
        <w:rPr>
          <w:lang w:val="fr-FR"/>
        </w:rPr>
        <w:t>’</w:t>
      </w:r>
      <w:r w:rsidRPr="00406E75">
        <w:rPr>
          <w:lang w:val="fr-FR"/>
        </w:rPr>
        <w:t>annonce chaque année le Sous-Secrétaire général à la gestion des ressources humaines. Jusqu</w:t>
      </w:r>
      <w:r w:rsidR="00034E28">
        <w:rPr>
          <w:lang w:val="fr-FR"/>
        </w:rPr>
        <w:t>’</w:t>
      </w:r>
      <w:r w:rsidRPr="00406E75">
        <w:rPr>
          <w:lang w:val="fr-FR"/>
        </w:rPr>
        <w:t>à ce que tous les réseaux d</w:t>
      </w:r>
      <w:r w:rsidR="00034E28">
        <w:rPr>
          <w:lang w:val="fr-FR"/>
        </w:rPr>
        <w:t>’</w:t>
      </w:r>
      <w:r w:rsidRPr="00406E75">
        <w:rPr>
          <w:lang w:val="fr-FR"/>
        </w:rPr>
        <w:t>emplois en relèvent, le nouveau dispositif coexistera avec le système de sélection du personnel régi par l</w:t>
      </w:r>
      <w:r w:rsidR="00034E28">
        <w:rPr>
          <w:lang w:val="fr-FR"/>
        </w:rPr>
        <w:t>’</w:t>
      </w:r>
      <w:r w:rsidRPr="00406E75">
        <w:rPr>
          <w:lang w:val="fr-FR"/>
        </w:rPr>
        <w:t xml:space="preserve">instruction administrative </w:t>
      </w:r>
      <w:hyperlink r:id="rId15" w:history="1">
        <w:r w:rsidRPr="00406E75">
          <w:rPr>
            <w:rStyle w:val="Hyperlink"/>
            <w:lang w:val="fr-FR"/>
          </w:rPr>
          <w:t>ST/AI/2010/3</w:t>
        </w:r>
      </w:hyperlink>
      <w:r w:rsidRPr="00406E75">
        <w:rPr>
          <w:lang w:val="fr-FR"/>
        </w:rPr>
        <w:t xml:space="preserve"> et ses textes modificatifs.</w:t>
      </w:r>
    </w:p>
    <w:p w14:paraId="167FB2C6" w14:textId="32DED05C" w:rsidR="00406E75" w:rsidRPr="00406E75" w:rsidRDefault="00406E75" w:rsidP="00034E28">
      <w:pPr>
        <w:pStyle w:val="SingleTxt"/>
        <w:numPr>
          <w:ilvl w:val="0"/>
          <w:numId w:val="17"/>
        </w:numPr>
        <w:spacing w:line="240" w:lineRule="exact"/>
        <w:ind w:left="1267"/>
        <w:rPr>
          <w:lang w:val="fr-FR"/>
        </w:rPr>
      </w:pPr>
      <w:r w:rsidRPr="00406E75">
        <w:rPr>
          <w:lang w:val="fr-FR"/>
        </w:rPr>
        <w:t xml:space="preserve">Le nouveau dispositif vise à répondre aux objectifs ci-après : </w:t>
      </w:r>
    </w:p>
    <w:p w14:paraId="3BFA1997" w14:textId="50A4BB2A" w:rsidR="00406E75" w:rsidRPr="00406E75" w:rsidRDefault="00406E75" w:rsidP="00406E75">
      <w:pPr>
        <w:pStyle w:val="SingleTxt"/>
        <w:rPr>
          <w:lang w:val="fr-FR"/>
        </w:rPr>
      </w:pPr>
      <w:r w:rsidRPr="00406E75">
        <w:rPr>
          <w:lang w:val="fr-FR"/>
        </w:rPr>
        <w:tab/>
        <w:t>a)</w:t>
      </w:r>
      <w:r w:rsidRPr="00406E75">
        <w:rPr>
          <w:lang w:val="fr-FR"/>
        </w:rPr>
        <w:tab/>
        <w:t>Sélectionner les fonctionnaires, compte tenu de leur mérite, des aptitudes qui leur sont reconnues et des résultats qu</w:t>
      </w:r>
      <w:r w:rsidR="00034E28">
        <w:rPr>
          <w:lang w:val="fr-FR"/>
        </w:rPr>
        <w:t>’</w:t>
      </w:r>
      <w:r w:rsidRPr="00406E75">
        <w:rPr>
          <w:lang w:val="fr-FR"/>
        </w:rPr>
        <w:t>ils ont obtenus, dans le cadre d</w:t>
      </w:r>
      <w:r w:rsidR="00034E28">
        <w:rPr>
          <w:lang w:val="fr-FR"/>
        </w:rPr>
        <w:t>’</w:t>
      </w:r>
      <w:r w:rsidRPr="00406E75">
        <w:rPr>
          <w:lang w:val="fr-FR"/>
        </w:rPr>
        <w:t>un appel à candidatures où la considération dominante doit être la nécessité d</w:t>
      </w:r>
      <w:r w:rsidR="00034E28">
        <w:rPr>
          <w:lang w:val="fr-FR"/>
        </w:rPr>
        <w:t>’</w:t>
      </w:r>
      <w:r w:rsidRPr="00406E75">
        <w:rPr>
          <w:lang w:val="fr-FR"/>
        </w:rPr>
        <w:t>assurer à l</w:t>
      </w:r>
      <w:r w:rsidR="00034E28">
        <w:rPr>
          <w:lang w:val="fr-FR"/>
        </w:rPr>
        <w:t>’</w:t>
      </w:r>
      <w:r w:rsidRPr="00406E75">
        <w:rPr>
          <w:lang w:val="fr-FR"/>
        </w:rPr>
        <w:t>Organisation les services de personnes possédant les plus hautes qualités de travail, de compétence et d</w:t>
      </w:r>
      <w:r w:rsidR="00034E28">
        <w:rPr>
          <w:lang w:val="fr-FR"/>
        </w:rPr>
        <w:t>’</w:t>
      </w:r>
      <w:r w:rsidRPr="00406E75">
        <w:rPr>
          <w:lang w:val="fr-FR"/>
        </w:rPr>
        <w:t>intégrité, l</w:t>
      </w:r>
      <w:r w:rsidR="00034E28">
        <w:rPr>
          <w:lang w:val="fr-FR"/>
        </w:rPr>
        <w:t>’</w:t>
      </w:r>
      <w:r w:rsidRPr="00406E75">
        <w:rPr>
          <w:lang w:val="fr-FR"/>
        </w:rPr>
        <w:t>importance d</w:t>
      </w:r>
      <w:r w:rsidR="00034E28">
        <w:rPr>
          <w:lang w:val="fr-FR"/>
        </w:rPr>
        <w:t>’</w:t>
      </w:r>
      <w:r w:rsidRPr="00406E75">
        <w:rPr>
          <w:lang w:val="fr-FR"/>
        </w:rPr>
        <w:t xml:space="preserve">un recrutement effectué sur une base </w:t>
      </w:r>
      <w:r w:rsidRPr="00406E75">
        <w:rPr>
          <w:lang w:val="fr-FR"/>
        </w:rPr>
        <w:lastRenderedPageBreak/>
        <w:t>géographique aussi large que possible et la nécessité d</w:t>
      </w:r>
      <w:r w:rsidR="00034E28">
        <w:rPr>
          <w:lang w:val="fr-FR"/>
        </w:rPr>
        <w:t>’</w:t>
      </w:r>
      <w:r w:rsidRPr="00406E75">
        <w:rPr>
          <w:lang w:val="fr-FR"/>
        </w:rPr>
        <w:t>atteindre les objectifs fixés par l</w:t>
      </w:r>
      <w:r w:rsidR="00034E28">
        <w:rPr>
          <w:lang w:val="fr-FR"/>
        </w:rPr>
        <w:t>’</w:t>
      </w:r>
      <w:r w:rsidRPr="00406E75">
        <w:rPr>
          <w:lang w:val="fr-FR"/>
        </w:rPr>
        <w:t>Assemblée générale en ce qui concerne l</w:t>
      </w:r>
      <w:r w:rsidR="00034E28">
        <w:rPr>
          <w:lang w:val="fr-FR"/>
        </w:rPr>
        <w:t>’</w:t>
      </w:r>
      <w:r w:rsidRPr="00406E75">
        <w:rPr>
          <w:lang w:val="fr-FR"/>
        </w:rPr>
        <w:t>équilibre entre les sexes étant dûment prises en considération</w:t>
      </w:r>
      <w:r w:rsidR="00034E28">
        <w:rPr>
          <w:lang w:val="fr-FR"/>
        </w:rPr>
        <w:t> ;</w:t>
      </w:r>
    </w:p>
    <w:p w14:paraId="04B49086" w14:textId="3EDCFE40" w:rsidR="00406E75" w:rsidRPr="00406E75" w:rsidRDefault="00406E75" w:rsidP="00406E75">
      <w:pPr>
        <w:pStyle w:val="SingleTxt"/>
        <w:rPr>
          <w:lang w:val="fr-FR"/>
        </w:rPr>
      </w:pPr>
      <w:r w:rsidRPr="00406E75">
        <w:rPr>
          <w:lang w:val="fr-FR"/>
        </w:rPr>
        <w:tab/>
        <w:t>b)</w:t>
      </w:r>
      <w:r w:rsidRPr="00406E75">
        <w:rPr>
          <w:lang w:val="fr-FR"/>
        </w:rPr>
        <w:tab/>
        <w:t>Inciter les fonctionnaires de toutes les unités administratives du Secrétariat à faire preuve d</w:t>
      </w:r>
      <w:r w:rsidR="00034E28">
        <w:rPr>
          <w:lang w:val="fr-FR"/>
        </w:rPr>
        <w:t>’</w:t>
      </w:r>
      <w:r w:rsidRPr="00406E75">
        <w:rPr>
          <w:lang w:val="fr-FR"/>
        </w:rPr>
        <w:t>une plus grande mobilité entre le Siège, les bureaux hors Siège, y compris les commissions régionales, et les missions, et à changer plus fréquemment de fonctions et de réseaux d</w:t>
      </w:r>
      <w:r w:rsidR="00034E28">
        <w:rPr>
          <w:lang w:val="fr-FR"/>
        </w:rPr>
        <w:t>’</w:t>
      </w:r>
      <w:r w:rsidRPr="00406E75">
        <w:rPr>
          <w:lang w:val="fr-FR"/>
        </w:rPr>
        <w:t>emplois</w:t>
      </w:r>
      <w:r w:rsidR="00034E28">
        <w:rPr>
          <w:lang w:val="fr-FR"/>
        </w:rPr>
        <w:t> ;</w:t>
      </w:r>
    </w:p>
    <w:p w14:paraId="1E190FEA" w14:textId="4DBBAB5F" w:rsidR="00406E75" w:rsidRPr="00406E75" w:rsidRDefault="00406E75" w:rsidP="00406E75">
      <w:pPr>
        <w:pStyle w:val="SingleTxt"/>
        <w:rPr>
          <w:lang w:val="fr-FR"/>
        </w:rPr>
      </w:pPr>
      <w:r w:rsidRPr="00406E75">
        <w:rPr>
          <w:lang w:val="fr-FR"/>
        </w:rPr>
        <w:tab/>
        <w:t>c)</w:t>
      </w:r>
      <w:r w:rsidRPr="00406E75">
        <w:rPr>
          <w:lang w:val="fr-FR"/>
        </w:rPr>
        <w:tab/>
        <w:t>Mobiliser et fidéliser un corps mondial de fonctionnaires dynamiques et adaptables capables de s</w:t>
      </w:r>
      <w:r w:rsidR="00034E28">
        <w:rPr>
          <w:lang w:val="fr-FR"/>
        </w:rPr>
        <w:t>’</w:t>
      </w:r>
      <w:r w:rsidRPr="00406E75">
        <w:rPr>
          <w:lang w:val="fr-FR"/>
        </w:rPr>
        <w:t>acquitter des missions actuelles et futures et de répondre à des besoins opérationnels en constante évolution</w:t>
      </w:r>
      <w:r w:rsidR="00034E28">
        <w:rPr>
          <w:lang w:val="fr-FR"/>
        </w:rPr>
        <w:t> ;</w:t>
      </w:r>
    </w:p>
    <w:p w14:paraId="4284566E" w14:textId="44DDDA6D" w:rsidR="00406E75" w:rsidRPr="00406E75" w:rsidRDefault="00406E75" w:rsidP="00406E75">
      <w:pPr>
        <w:pStyle w:val="SingleTxt"/>
        <w:rPr>
          <w:lang w:val="fr-FR"/>
        </w:rPr>
      </w:pPr>
      <w:r w:rsidRPr="00406E75">
        <w:rPr>
          <w:lang w:val="fr-FR"/>
        </w:rPr>
        <w:tab/>
        <w:t>d)</w:t>
      </w:r>
      <w:r w:rsidRPr="00406E75">
        <w:rPr>
          <w:lang w:val="fr-FR"/>
        </w:rPr>
        <w:tab/>
        <w:t>Offrir aux fonctionnaires de meilleures perspectives de carrière et les aider à s</w:t>
      </w:r>
      <w:r w:rsidR="00034E28">
        <w:rPr>
          <w:lang w:val="fr-FR"/>
        </w:rPr>
        <w:t>’</w:t>
      </w:r>
      <w:r w:rsidRPr="00406E75">
        <w:rPr>
          <w:lang w:val="fr-FR"/>
        </w:rPr>
        <w:t>enrichir de compétences, de connaissances et d</w:t>
      </w:r>
      <w:r w:rsidR="00034E28">
        <w:rPr>
          <w:lang w:val="fr-FR"/>
        </w:rPr>
        <w:t>’</w:t>
      </w:r>
      <w:r w:rsidRPr="00406E75">
        <w:rPr>
          <w:lang w:val="fr-FR"/>
        </w:rPr>
        <w:t>expériences nouvelles aussi bien dans une même unité administrative que dans des unités administratives différentes, à différents postes et dans différents lieux d</w:t>
      </w:r>
      <w:r w:rsidR="00034E28">
        <w:rPr>
          <w:lang w:val="fr-FR"/>
        </w:rPr>
        <w:t>’</w:t>
      </w:r>
      <w:r w:rsidRPr="00406E75">
        <w:rPr>
          <w:lang w:val="fr-FR"/>
        </w:rPr>
        <w:t>affectation du Secrétariat.</w:t>
      </w:r>
    </w:p>
    <w:p w14:paraId="69F48C4E" w14:textId="74B0A8B1" w:rsidR="00406E75" w:rsidRPr="00406E75" w:rsidRDefault="00406E75" w:rsidP="00034E28">
      <w:pPr>
        <w:pStyle w:val="SingleTxt"/>
        <w:numPr>
          <w:ilvl w:val="0"/>
          <w:numId w:val="17"/>
        </w:numPr>
        <w:spacing w:line="240" w:lineRule="exact"/>
        <w:ind w:left="1267"/>
        <w:rPr>
          <w:lang w:val="fr-FR"/>
        </w:rPr>
      </w:pPr>
      <w:r w:rsidRPr="00406E75">
        <w:rPr>
          <w:lang w:val="fr-FR"/>
        </w:rPr>
        <w:t>Pour répondre aux objectifs du nouveau dispositif, le Bureau de la gestion des ressources humaines institue, en concertation avec les départements et bureaux du Secrétariat et les représentants du personnel, des réseaux d</w:t>
      </w:r>
      <w:r w:rsidR="00034E28">
        <w:rPr>
          <w:lang w:val="fr-FR"/>
        </w:rPr>
        <w:t>’</w:t>
      </w:r>
      <w:r w:rsidRPr="00406E75">
        <w:rPr>
          <w:lang w:val="fr-FR"/>
        </w:rPr>
        <w:t>emplois qui regroupent des familles d</w:t>
      </w:r>
      <w:r w:rsidR="00034E28">
        <w:rPr>
          <w:lang w:val="fr-FR"/>
        </w:rPr>
        <w:t>’</w:t>
      </w:r>
      <w:r w:rsidRPr="00406E75">
        <w:rPr>
          <w:lang w:val="fr-FR"/>
        </w:rPr>
        <w:t>emplois dont les domaines et les fonctions sont communs, proches ou interdépendants, tous départements et bureaux du Secrétariat confondus.</w:t>
      </w:r>
    </w:p>
    <w:p w14:paraId="65B77E13" w14:textId="72897652" w:rsidR="00406E75" w:rsidRPr="00406E75" w:rsidRDefault="00406E75" w:rsidP="00034E28">
      <w:pPr>
        <w:pStyle w:val="SingleTxt"/>
        <w:numPr>
          <w:ilvl w:val="0"/>
          <w:numId w:val="17"/>
        </w:numPr>
        <w:spacing w:line="240" w:lineRule="exact"/>
        <w:ind w:left="1267"/>
        <w:rPr>
          <w:lang w:val="fr-FR"/>
        </w:rPr>
      </w:pPr>
      <w:r w:rsidRPr="00406E75">
        <w:rPr>
          <w:lang w:val="fr-FR"/>
        </w:rPr>
        <w:t>Des textes administratifs précisent les modalités de mise en application du nouveau dispositif, y compris la création d</w:t>
      </w:r>
      <w:r w:rsidR="00034E28">
        <w:rPr>
          <w:lang w:val="fr-FR"/>
        </w:rPr>
        <w:t>’</w:t>
      </w:r>
      <w:r w:rsidRPr="00406E75">
        <w:rPr>
          <w:lang w:val="fr-FR"/>
        </w:rPr>
        <w:t>organes centralisés.</w:t>
      </w:r>
    </w:p>
    <w:p w14:paraId="4B6C94C4" w14:textId="218BF680" w:rsidR="00406E75" w:rsidRPr="00406E75" w:rsidRDefault="00406E75" w:rsidP="00034E28">
      <w:pPr>
        <w:pStyle w:val="SingleTxt"/>
        <w:numPr>
          <w:ilvl w:val="0"/>
          <w:numId w:val="17"/>
        </w:numPr>
        <w:spacing w:line="240" w:lineRule="exact"/>
        <w:ind w:left="1267"/>
        <w:rPr>
          <w:lang w:val="fr-FR"/>
        </w:rPr>
      </w:pPr>
      <w:r w:rsidRPr="00406E75">
        <w:rPr>
          <w:lang w:val="fr-FR"/>
        </w:rPr>
        <w:t>Le Bureau de la gestion des ressources humaines, en collaboration avec les départements et bureaux, coordonne et appuie la mise en application progressive du nouveau dispositif dans le Secrétariat.</w:t>
      </w:r>
    </w:p>
    <w:p w14:paraId="1F93F254" w14:textId="37C0D285" w:rsidR="00406E75" w:rsidRPr="00406E75" w:rsidRDefault="00406E75" w:rsidP="00034E28">
      <w:pPr>
        <w:pStyle w:val="SingleTxt"/>
        <w:numPr>
          <w:ilvl w:val="0"/>
          <w:numId w:val="17"/>
        </w:numPr>
        <w:spacing w:line="240" w:lineRule="exact"/>
        <w:ind w:left="1267"/>
        <w:rPr>
          <w:lang w:val="fr-FR"/>
        </w:rPr>
      </w:pPr>
      <w:r w:rsidRPr="00406E75">
        <w:rPr>
          <w:lang w:val="fr-FR"/>
        </w:rPr>
        <w:t>À l</w:t>
      </w:r>
      <w:r w:rsidR="00034E28">
        <w:rPr>
          <w:lang w:val="fr-FR"/>
        </w:rPr>
        <w:t>’</w:t>
      </w:r>
      <w:r w:rsidRPr="00406E75">
        <w:rPr>
          <w:lang w:val="fr-FR"/>
        </w:rPr>
        <w:t>issue de la première campagne de réaffectation au titre de la mobilité encadrée et de la deuxième campagne de recrutement réalisées dans le réseau Affaires politiques, paix et sécurité, et des premières campagnes de ces deux types menées dans le réseau Technologies de l</w:t>
      </w:r>
      <w:r w:rsidR="00034E28">
        <w:rPr>
          <w:lang w:val="fr-FR"/>
        </w:rPr>
        <w:t>’</w:t>
      </w:r>
      <w:r w:rsidRPr="00406E75">
        <w:rPr>
          <w:lang w:val="fr-FR"/>
        </w:rPr>
        <w:t>information et télécommunications, en 2017, l</w:t>
      </w:r>
      <w:r w:rsidR="00034E28">
        <w:rPr>
          <w:lang w:val="fr-FR"/>
        </w:rPr>
        <w:t>’</w:t>
      </w:r>
      <w:r w:rsidRPr="00406E75">
        <w:rPr>
          <w:lang w:val="fr-FR"/>
        </w:rPr>
        <w:t>application du dispositif de sélection du personnel et d</w:t>
      </w:r>
      <w:r w:rsidR="00034E28">
        <w:rPr>
          <w:lang w:val="fr-FR"/>
        </w:rPr>
        <w:t>’</w:t>
      </w:r>
      <w:r w:rsidRPr="00406E75">
        <w:rPr>
          <w:lang w:val="fr-FR"/>
        </w:rPr>
        <w:t>encadrement de la mobilité établi par la présente circulaire sera interrompue pour examiner l</w:t>
      </w:r>
      <w:r w:rsidR="00034E28">
        <w:rPr>
          <w:lang w:val="fr-FR"/>
        </w:rPr>
        <w:t>’</w:t>
      </w:r>
      <w:r w:rsidRPr="00406E75">
        <w:rPr>
          <w:lang w:val="fr-FR"/>
        </w:rPr>
        <w:t>ensemble du système, notamment les enseignements tirés de l</w:t>
      </w:r>
      <w:r w:rsidR="00034E28">
        <w:rPr>
          <w:lang w:val="fr-FR"/>
        </w:rPr>
        <w:t>’</w:t>
      </w:r>
      <w:r w:rsidRPr="00406E75">
        <w:rPr>
          <w:lang w:val="fr-FR"/>
        </w:rPr>
        <w:t>expérience en ce qui concerne les procédures centralisées et leur rentabilité, au regard des résultats attendus.</w:t>
      </w:r>
    </w:p>
    <w:p w14:paraId="09C4532A" w14:textId="655964C3" w:rsidR="00406E75" w:rsidRPr="00406E75" w:rsidRDefault="00406E75" w:rsidP="00034E28">
      <w:pPr>
        <w:pStyle w:val="SingleTxt"/>
        <w:numPr>
          <w:ilvl w:val="0"/>
          <w:numId w:val="17"/>
        </w:numPr>
        <w:spacing w:line="240" w:lineRule="exact"/>
        <w:ind w:left="1267"/>
        <w:rPr>
          <w:lang w:val="fr-FR"/>
        </w:rPr>
      </w:pPr>
      <w:r w:rsidRPr="00406E75">
        <w:rPr>
          <w:lang w:val="fr-FR"/>
        </w:rPr>
        <w:t>Pendant cette interruption, le système de sélection du personnel régi par l</w:t>
      </w:r>
      <w:r w:rsidR="00034E28">
        <w:rPr>
          <w:lang w:val="fr-FR"/>
        </w:rPr>
        <w:t>’</w:t>
      </w:r>
      <w:r w:rsidRPr="00406E75">
        <w:rPr>
          <w:lang w:val="fr-FR"/>
        </w:rPr>
        <w:t xml:space="preserve">instruction administrative </w:t>
      </w:r>
      <w:hyperlink r:id="rId16" w:history="1">
        <w:r w:rsidRPr="00034E28">
          <w:rPr>
            <w:rStyle w:val="Hyperlink"/>
            <w:lang w:val="fr-FR"/>
          </w:rPr>
          <w:t>ST/AI/2010/3</w:t>
        </w:r>
      </w:hyperlink>
      <w:r w:rsidRPr="00406E75">
        <w:rPr>
          <w:lang w:val="fr-FR"/>
        </w:rPr>
        <w:t xml:space="preserve"> et ses textes modificatifs s</w:t>
      </w:r>
      <w:r w:rsidR="00034E28">
        <w:rPr>
          <w:lang w:val="fr-FR"/>
        </w:rPr>
        <w:t>’</w:t>
      </w:r>
      <w:r w:rsidRPr="00406E75">
        <w:rPr>
          <w:lang w:val="fr-FR"/>
        </w:rPr>
        <w:t>applique au réseau Affaires politiques, paix et sécurité et au réseau Technologies de l</w:t>
      </w:r>
      <w:r w:rsidR="00034E28">
        <w:rPr>
          <w:lang w:val="fr-FR"/>
        </w:rPr>
        <w:t>’</w:t>
      </w:r>
      <w:r w:rsidRPr="00406E75">
        <w:rPr>
          <w:lang w:val="fr-FR"/>
        </w:rPr>
        <w:t>information et t</w:t>
      </w:r>
      <w:bookmarkStart w:id="1" w:name="TmpSave"/>
      <w:bookmarkEnd w:id="1"/>
      <w:r w:rsidRPr="00406E75">
        <w:rPr>
          <w:lang w:val="fr-FR"/>
        </w:rPr>
        <w:t>élécommunications et continue de s</w:t>
      </w:r>
      <w:r w:rsidR="00034E28">
        <w:rPr>
          <w:lang w:val="fr-FR"/>
        </w:rPr>
        <w:t>’</w:t>
      </w:r>
      <w:r w:rsidRPr="00406E75">
        <w:rPr>
          <w:lang w:val="fr-FR"/>
        </w:rPr>
        <w:t>appliquer à tous les réseaux d</w:t>
      </w:r>
      <w:r w:rsidR="00034E28">
        <w:rPr>
          <w:lang w:val="fr-FR"/>
        </w:rPr>
        <w:t>’</w:t>
      </w:r>
      <w:r w:rsidRPr="00406E75">
        <w:rPr>
          <w:lang w:val="fr-FR"/>
        </w:rPr>
        <w:t xml:space="preserve">emplois qui ne relèvent pas encore du nouveau dispositif. </w:t>
      </w:r>
    </w:p>
    <w:p w14:paraId="4BB73325" w14:textId="427FB003" w:rsidR="00406E75" w:rsidRPr="00406E75" w:rsidRDefault="00406E75" w:rsidP="00034E28">
      <w:pPr>
        <w:pStyle w:val="SingleTxt"/>
        <w:numPr>
          <w:ilvl w:val="0"/>
          <w:numId w:val="17"/>
        </w:numPr>
        <w:spacing w:line="240" w:lineRule="exact"/>
        <w:ind w:left="1267"/>
        <w:rPr>
          <w:lang w:val="fr-FR"/>
        </w:rPr>
      </w:pPr>
      <w:r w:rsidRPr="00406E75">
        <w:rPr>
          <w:lang w:val="fr-FR"/>
        </w:rPr>
        <w:t>La présente circulaire</w:t>
      </w:r>
      <w:r w:rsidRPr="00406E75">
        <w:t>, qui annule et remplace la circulaire du Secrétaire général</w:t>
      </w:r>
      <w:r w:rsidRPr="00406E75">
        <w:rPr>
          <w:lang w:val="fr-FR"/>
        </w:rPr>
        <w:t xml:space="preserve"> </w:t>
      </w:r>
      <w:hyperlink r:id="rId17" w:history="1">
        <w:r w:rsidRPr="00034E28">
          <w:rPr>
            <w:rStyle w:val="Hyperlink"/>
            <w:lang w:val="fr-FR"/>
          </w:rPr>
          <w:t>ST/SGB/2016/2</w:t>
        </w:r>
      </w:hyperlink>
      <w:r w:rsidRPr="00406E75">
        <w:rPr>
          <w:lang w:val="fr-FR"/>
        </w:rPr>
        <w:t xml:space="preserve">, prend effet à la date de sa publication. </w:t>
      </w:r>
    </w:p>
    <w:p w14:paraId="4E31F7D2" w14:textId="24CBC84D" w:rsidR="00406E75" w:rsidRPr="00034E28" w:rsidRDefault="00406E75" w:rsidP="00034E28">
      <w:pPr>
        <w:pStyle w:val="SingleTxt"/>
        <w:spacing w:after="0" w:line="120" w:lineRule="exact"/>
        <w:rPr>
          <w:iCs/>
          <w:sz w:val="10"/>
          <w:lang w:val="fr-FR"/>
        </w:rPr>
      </w:pPr>
    </w:p>
    <w:p w14:paraId="573B851D" w14:textId="3B398B27" w:rsidR="00406E75" w:rsidRDefault="00406E75" w:rsidP="00034E28">
      <w:pPr>
        <w:pStyle w:val="SingleTxt"/>
        <w:jc w:val="right"/>
        <w:rPr>
          <w:b/>
          <w:bCs/>
          <w:lang w:val="fr-FR"/>
        </w:rPr>
      </w:pPr>
      <w:r w:rsidRPr="00406E75">
        <w:rPr>
          <w:iCs/>
          <w:lang w:val="fr-FR"/>
        </w:rPr>
        <w:t>Le Secrétaire général</w:t>
      </w:r>
      <w:r w:rsidRPr="00406E75">
        <w:rPr>
          <w:iCs/>
          <w:lang w:val="fr-FR"/>
        </w:rPr>
        <w:br/>
        <w:t>(</w:t>
      </w:r>
      <w:r w:rsidRPr="00406E75">
        <w:rPr>
          <w:i/>
          <w:iCs/>
          <w:lang w:val="fr-FR"/>
        </w:rPr>
        <w:t>Signé</w:t>
      </w:r>
      <w:r w:rsidRPr="00406E75">
        <w:rPr>
          <w:iCs/>
          <w:lang w:val="fr-FR"/>
        </w:rPr>
        <w:t>)</w:t>
      </w:r>
      <w:r w:rsidRPr="00406E75">
        <w:rPr>
          <w:lang w:val="fr-FR"/>
        </w:rPr>
        <w:t xml:space="preserve"> </w:t>
      </w:r>
      <w:r w:rsidRPr="00406E75">
        <w:rPr>
          <w:bCs/>
          <w:lang w:val="fr-FR"/>
        </w:rPr>
        <w:t xml:space="preserve">António </w:t>
      </w:r>
      <w:r w:rsidRPr="00406E75">
        <w:rPr>
          <w:b/>
          <w:bCs/>
          <w:lang w:val="fr-FR"/>
        </w:rPr>
        <w:t>Guterres</w:t>
      </w:r>
    </w:p>
    <w:p w14:paraId="299C2D1D" w14:textId="699083E7" w:rsidR="00034E28" w:rsidRPr="00034E28" w:rsidRDefault="00034E28" w:rsidP="00034E28">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682122E9" wp14:editId="240DE63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6DF4B9A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34E28" w:rsidRPr="00034E28" w:rsidSect="00406E75">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3B18" w14:textId="77777777" w:rsidR="00C3277F" w:rsidRDefault="00C3277F" w:rsidP="00101B18">
      <w:pPr>
        <w:spacing w:line="240" w:lineRule="auto"/>
      </w:pPr>
      <w:r>
        <w:separator/>
      </w:r>
    </w:p>
  </w:endnote>
  <w:endnote w:type="continuationSeparator" w:id="0">
    <w:p w14:paraId="4CBB4C49" w14:textId="77777777" w:rsidR="00C3277F" w:rsidRDefault="00C3277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826FB2" w14:paraId="3157AAE8" w14:textId="77777777" w:rsidTr="00826FB2">
      <w:tc>
        <w:tcPr>
          <w:tcW w:w="4920" w:type="dxa"/>
          <w:shd w:val="clear" w:color="auto" w:fill="auto"/>
        </w:tcPr>
        <w:p w14:paraId="02C0210B" w14:textId="119A1B51" w:rsidR="00826FB2" w:rsidRPr="00826FB2" w:rsidRDefault="00826FB2" w:rsidP="00826F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2D93">
            <w:rPr>
              <w:b w:val="0"/>
              <w:w w:val="103"/>
              <w:sz w:val="14"/>
            </w:rPr>
            <w:t>17-23332</w:t>
          </w:r>
          <w:r>
            <w:rPr>
              <w:b w:val="0"/>
              <w:w w:val="103"/>
              <w:sz w:val="14"/>
            </w:rPr>
            <w:fldChar w:fldCharType="end"/>
          </w:r>
        </w:p>
      </w:tc>
      <w:tc>
        <w:tcPr>
          <w:tcW w:w="4920" w:type="dxa"/>
          <w:shd w:val="clear" w:color="auto" w:fill="auto"/>
        </w:tcPr>
        <w:p w14:paraId="1FC05A5F" w14:textId="18591B68" w:rsidR="00826FB2" w:rsidRPr="00826FB2" w:rsidRDefault="00826FB2" w:rsidP="00826FB2">
          <w:pPr>
            <w:pStyle w:val="Footer"/>
            <w:rPr>
              <w:w w:val="103"/>
            </w:rPr>
          </w:pPr>
          <w:r>
            <w:rPr>
              <w:w w:val="103"/>
            </w:rPr>
            <w:fldChar w:fldCharType="begin"/>
          </w:r>
          <w:r>
            <w:rPr>
              <w:w w:val="103"/>
            </w:rPr>
            <w:instrText xml:space="preserve"> PAGE  \* Arabic  \* MERGEFORMAT </w:instrText>
          </w:r>
          <w:r>
            <w:rPr>
              <w:w w:val="103"/>
            </w:rPr>
            <w:fldChar w:fldCharType="separate"/>
          </w:r>
          <w:r w:rsidR="0091743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7435">
            <w:rPr>
              <w:noProof/>
              <w:w w:val="103"/>
            </w:rPr>
            <w:t>2</w:t>
          </w:r>
          <w:r>
            <w:rPr>
              <w:w w:val="103"/>
            </w:rPr>
            <w:fldChar w:fldCharType="end"/>
          </w:r>
        </w:p>
      </w:tc>
    </w:tr>
  </w:tbl>
  <w:p w14:paraId="0B446033" w14:textId="77777777" w:rsidR="00826FB2" w:rsidRPr="00826FB2" w:rsidRDefault="00826FB2" w:rsidP="00826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826FB2" w14:paraId="57D41860" w14:textId="77777777" w:rsidTr="00826FB2">
      <w:tc>
        <w:tcPr>
          <w:tcW w:w="4920" w:type="dxa"/>
          <w:shd w:val="clear" w:color="auto" w:fill="auto"/>
        </w:tcPr>
        <w:p w14:paraId="69E2521A" w14:textId="7A20FAF8" w:rsidR="00826FB2" w:rsidRPr="00826FB2" w:rsidRDefault="00826FB2" w:rsidP="00826FB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82D9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2D93">
            <w:rPr>
              <w:noProof/>
              <w:w w:val="103"/>
            </w:rPr>
            <w:t>2</w:t>
          </w:r>
          <w:r>
            <w:rPr>
              <w:w w:val="103"/>
            </w:rPr>
            <w:fldChar w:fldCharType="end"/>
          </w:r>
        </w:p>
      </w:tc>
      <w:tc>
        <w:tcPr>
          <w:tcW w:w="4920" w:type="dxa"/>
          <w:shd w:val="clear" w:color="auto" w:fill="auto"/>
        </w:tcPr>
        <w:p w14:paraId="2A74A469" w14:textId="32D28C76" w:rsidR="00826FB2" w:rsidRPr="00826FB2" w:rsidRDefault="00826FB2" w:rsidP="00826F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2D93">
            <w:rPr>
              <w:b w:val="0"/>
              <w:w w:val="103"/>
              <w:sz w:val="14"/>
            </w:rPr>
            <w:t>17-23332</w:t>
          </w:r>
          <w:r>
            <w:rPr>
              <w:b w:val="0"/>
              <w:w w:val="103"/>
              <w:sz w:val="14"/>
            </w:rPr>
            <w:fldChar w:fldCharType="end"/>
          </w:r>
        </w:p>
      </w:tc>
    </w:tr>
  </w:tbl>
  <w:p w14:paraId="7EB7F89B" w14:textId="77777777" w:rsidR="00826FB2" w:rsidRPr="00826FB2" w:rsidRDefault="00826FB2" w:rsidP="00826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73E6" w14:textId="77777777" w:rsidR="00826FB2" w:rsidRDefault="00826FB2">
    <w:pPr>
      <w:pStyle w:val="Footer"/>
    </w:pPr>
    <w:r>
      <w:rPr>
        <w:noProof/>
      </w:rPr>
      <w:drawing>
        <wp:anchor distT="0" distB="0" distL="114300" distR="114300" simplePos="0" relativeHeight="251658240" behindDoc="0" locked="0" layoutInCell="1" allowOverlap="1" wp14:anchorId="37C592C1" wp14:editId="319BB641">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6/2/Rev.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6/2/Rev.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826FB2" w14:paraId="46DBB5DE" w14:textId="77777777" w:rsidTr="00826FB2">
      <w:tc>
        <w:tcPr>
          <w:tcW w:w="3758" w:type="dxa"/>
        </w:tcPr>
        <w:p w14:paraId="4724158C" w14:textId="4857F9BB" w:rsidR="00826FB2" w:rsidRDefault="00826FB2" w:rsidP="00826FB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82D93">
            <w:rPr>
              <w:b w:val="0"/>
              <w:sz w:val="20"/>
            </w:rPr>
            <w:t>17-23332 (F)</w:t>
          </w:r>
          <w:r>
            <w:rPr>
              <w:b w:val="0"/>
              <w:sz w:val="20"/>
            </w:rPr>
            <w:fldChar w:fldCharType="end"/>
          </w:r>
          <w:r>
            <w:rPr>
              <w:b w:val="0"/>
              <w:sz w:val="20"/>
            </w:rPr>
            <w:t xml:space="preserve">    2</w:t>
          </w:r>
          <w:r w:rsidR="00034E28">
            <w:rPr>
              <w:b w:val="0"/>
              <w:sz w:val="20"/>
            </w:rPr>
            <w:t>7</w:t>
          </w:r>
          <w:r>
            <w:rPr>
              <w:b w:val="0"/>
              <w:sz w:val="20"/>
            </w:rPr>
            <w:t>1217    291217</w:t>
          </w:r>
        </w:p>
        <w:p w14:paraId="4E5B7147" w14:textId="102D6B4E" w:rsidR="00826FB2" w:rsidRPr="00826FB2" w:rsidRDefault="00826FB2" w:rsidP="00826FB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82D93">
            <w:rPr>
              <w:rFonts w:ascii="Barcode 3 of 9 by request" w:hAnsi="Barcode 3 of 9 by request"/>
              <w:b w:val="0"/>
              <w:spacing w:val="0"/>
              <w:w w:val="100"/>
              <w:sz w:val="24"/>
            </w:rPr>
            <w:t>*1723332*</w:t>
          </w:r>
          <w:r>
            <w:rPr>
              <w:rFonts w:ascii="Barcode 3 of 9 by request" w:hAnsi="Barcode 3 of 9 by request"/>
              <w:b w:val="0"/>
              <w:spacing w:val="0"/>
              <w:w w:val="100"/>
              <w:sz w:val="24"/>
            </w:rPr>
            <w:fldChar w:fldCharType="end"/>
          </w:r>
        </w:p>
      </w:tc>
      <w:tc>
        <w:tcPr>
          <w:tcW w:w="4920" w:type="dxa"/>
        </w:tcPr>
        <w:p w14:paraId="25158D55" w14:textId="77777777" w:rsidR="00826FB2" w:rsidRDefault="00826FB2" w:rsidP="00826FB2">
          <w:pPr>
            <w:pStyle w:val="Footer"/>
            <w:spacing w:line="240" w:lineRule="atLeast"/>
            <w:jc w:val="right"/>
            <w:rPr>
              <w:b w:val="0"/>
              <w:sz w:val="20"/>
            </w:rPr>
          </w:pPr>
          <w:r>
            <w:rPr>
              <w:b w:val="0"/>
              <w:noProof/>
              <w:sz w:val="20"/>
            </w:rPr>
            <w:drawing>
              <wp:inline distT="0" distB="0" distL="0" distR="0" wp14:anchorId="3DABA1AC" wp14:editId="7C6616F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5DCE421" w14:textId="77777777" w:rsidR="00826FB2" w:rsidRPr="00826FB2" w:rsidRDefault="00826FB2" w:rsidP="00826FB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E5C06" w14:textId="77777777" w:rsidR="00C3277F" w:rsidRDefault="00C3277F" w:rsidP="00101B18">
      <w:pPr>
        <w:spacing w:line="240" w:lineRule="auto"/>
      </w:pPr>
      <w:r>
        <w:separator/>
      </w:r>
    </w:p>
  </w:footnote>
  <w:footnote w:type="continuationSeparator" w:id="0">
    <w:p w14:paraId="4EBC3A8D" w14:textId="77777777" w:rsidR="00C3277F" w:rsidRDefault="00C3277F"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826FB2" w14:paraId="23176C6E" w14:textId="77777777" w:rsidTr="00826FB2">
      <w:trPr>
        <w:trHeight w:hRule="exact" w:val="864"/>
      </w:trPr>
      <w:tc>
        <w:tcPr>
          <w:tcW w:w="4838" w:type="dxa"/>
          <w:shd w:val="clear" w:color="auto" w:fill="auto"/>
          <w:vAlign w:val="bottom"/>
        </w:tcPr>
        <w:p w14:paraId="35D71E3B" w14:textId="30ACD40B" w:rsidR="00826FB2" w:rsidRPr="00826FB2" w:rsidRDefault="00826FB2" w:rsidP="00826FB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82D93">
            <w:rPr>
              <w:b/>
              <w:color w:val="000000"/>
            </w:rPr>
            <w:t>ST/SGB/2016/2/Rev.1</w:t>
          </w:r>
          <w:r>
            <w:rPr>
              <w:b/>
              <w:color w:val="000000"/>
            </w:rPr>
            <w:fldChar w:fldCharType="end"/>
          </w:r>
        </w:p>
      </w:tc>
      <w:tc>
        <w:tcPr>
          <w:tcW w:w="4920" w:type="dxa"/>
          <w:shd w:val="clear" w:color="auto" w:fill="auto"/>
          <w:vAlign w:val="bottom"/>
        </w:tcPr>
        <w:p w14:paraId="18AF95ED" w14:textId="77777777" w:rsidR="00826FB2" w:rsidRDefault="00826FB2" w:rsidP="00826FB2">
          <w:pPr>
            <w:pStyle w:val="Header"/>
          </w:pPr>
        </w:p>
      </w:tc>
    </w:tr>
  </w:tbl>
  <w:p w14:paraId="54A78ECD" w14:textId="77777777" w:rsidR="00826FB2" w:rsidRPr="00826FB2" w:rsidRDefault="00826FB2" w:rsidP="00826FB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826FB2" w14:paraId="77CA2B4C" w14:textId="77777777" w:rsidTr="00826FB2">
      <w:trPr>
        <w:trHeight w:hRule="exact" w:val="864"/>
      </w:trPr>
      <w:tc>
        <w:tcPr>
          <w:tcW w:w="4838" w:type="dxa"/>
          <w:shd w:val="clear" w:color="auto" w:fill="auto"/>
          <w:vAlign w:val="bottom"/>
        </w:tcPr>
        <w:p w14:paraId="11FCD435" w14:textId="77777777" w:rsidR="00826FB2" w:rsidRDefault="00826FB2" w:rsidP="00826FB2">
          <w:pPr>
            <w:pStyle w:val="Header"/>
          </w:pPr>
        </w:p>
      </w:tc>
      <w:tc>
        <w:tcPr>
          <w:tcW w:w="4920" w:type="dxa"/>
          <w:shd w:val="clear" w:color="auto" w:fill="auto"/>
          <w:vAlign w:val="bottom"/>
        </w:tcPr>
        <w:p w14:paraId="2B65B47F" w14:textId="0DE40F92" w:rsidR="00826FB2" w:rsidRPr="00826FB2" w:rsidRDefault="00826FB2" w:rsidP="00826FB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82D93">
            <w:rPr>
              <w:b/>
              <w:color w:val="000000"/>
            </w:rPr>
            <w:t>ST/SGB/2016/2/Rev.1</w:t>
          </w:r>
          <w:r>
            <w:rPr>
              <w:b/>
              <w:color w:val="000000"/>
            </w:rPr>
            <w:fldChar w:fldCharType="end"/>
          </w:r>
        </w:p>
      </w:tc>
    </w:tr>
  </w:tbl>
  <w:p w14:paraId="21EC0789" w14:textId="77777777" w:rsidR="00826FB2" w:rsidRPr="00826FB2" w:rsidRDefault="00826FB2" w:rsidP="00826FB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26FB2" w14:paraId="0A7C64D6" w14:textId="77777777" w:rsidTr="00826FB2">
      <w:trPr>
        <w:trHeight w:hRule="exact" w:val="864"/>
      </w:trPr>
      <w:tc>
        <w:tcPr>
          <w:tcW w:w="1267" w:type="dxa"/>
          <w:tcBorders>
            <w:bottom w:val="single" w:sz="4" w:space="0" w:color="auto"/>
          </w:tcBorders>
          <w:shd w:val="clear" w:color="auto" w:fill="auto"/>
          <w:vAlign w:val="bottom"/>
        </w:tcPr>
        <w:p w14:paraId="31C54E06" w14:textId="77777777" w:rsidR="00826FB2" w:rsidRDefault="00826FB2" w:rsidP="00826FB2">
          <w:pPr>
            <w:pStyle w:val="Header"/>
            <w:spacing w:after="120"/>
          </w:pPr>
        </w:p>
      </w:tc>
      <w:tc>
        <w:tcPr>
          <w:tcW w:w="2059" w:type="dxa"/>
          <w:tcBorders>
            <w:bottom w:val="single" w:sz="4" w:space="0" w:color="auto"/>
          </w:tcBorders>
          <w:shd w:val="clear" w:color="auto" w:fill="auto"/>
          <w:vAlign w:val="bottom"/>
        </w:tcPr>
        <w:p w14:paraId="794F0588" w14:textId="77777777" w:rsidR="00826FB2" w:rsidRPr="00826FB2" w:rsidRDefault="00826FB2" w:rsidP="00826FB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7942BF0" w14:textId="77777777" w:rsidR="00826FB2" w:rsidRDefault="00826FB2" w:rsidP="00826FB2">
          <w:pPr>
            <w:pStyle w:val="Header"/>
            <w:spacing w:after="120"/>
          </w:pPr>
        </w:p>
      </w:tc>
      <w:tc>
        <w:tcPr>
          <w:tcW w:w="6466" w:type="dxa"/>
          <w:gridSpan w:val="3"/>
          <w:tcBorders>
            <w:bottom w:val="single" w:sz="4" w:space="0" w:color="auto"/>
          </w:tcBorders>
          <w:shd w:val="clear" w:color="auto" w:fill="auto"/>
          <w:vAlign w:val="bottom"/>
        </w:tcPr>
        <w:p w14:paraId="3A668801" w14:textId="77777777" w:rsidR="00826FB2" w:rsidRPr="00826FB2" w:rsidRDefault="00826FB2" w:rsidP="00826FB2">
          <w:pPr>
            <w:spacing w:after="80" w:line="240" w:lineRule="auto"/>
            <w:jc w:val="right"/>
            <w:rPr>
              <w:position w:val="-4"/>
            </w:rPr>
          </w:pPr>
          <w:r>
            <w:rPr>
              <w:position w:val="-4"/>
              <w:sz w:val="40"/>
            </w:rPr>
            <w:t>ST</w:t>
          </w:r>
          <w:r>
            <w:rPr>
              <w:position w:val="-4"/>
            </w:rPr>
            <w:t>/SGB/2016/2/Rev.1</w:t>
          </w:r>
        </w:p>
      </w:tc>
    </w:tr>
    <w:tr w:rsidR="00826FB2" w:rsidRPr="00826FB2" w14:paraId="428C68A1" w14:textId="77777777" w:rsidTr="00826FB2">
      <w:trPr>
        <w:trHeight w:hRule="exact" w:val="2880"/>
      </w:trPr>
      <w:tc>
        <w:tcPr>
          <w:tcW w:w="1267" w:type="dxa"/>
          <w:tcBorders>
            <w:top w:val="single" w:sz="4" w:space="0" w:color="auto"/>
            <w:bottom w:val="single" w:sz="12" w:space="0" w:color="auto"/>
          </w:tcBorders>
          <w:shd w:val="clear" w:color="auto" w:fill="auto"/>
        </w:tcPr>
        <w:p w14:paraId="61350A61" w14:textId="77777777" w:rsidR="00826FB2" w:rsidRPr="00826FB2" w:rsidRDefault="00826FB2" w:rsidP="00826FB2">
          <w:pPr>
            <w:pStyle w:val="Header"/>
            <w:spacing w:before="120" w:line="240" w:lineRule="auto"/>
            <w:ind w:left="-72"/>
            <w:jc w:val="center"/>
          </w:pPr>
          <w:r>
            <w:t xml:space="preserve">  </w:t>
          </w:r>
          <w:r>
            <w:rPr>
              <w:noProof/>
            </w:rPr>
            <w:drawing>
              <wp:inline distT="0" distB="0" distL="0" distR="0" wp14:anchorId="6FEB5F95" wp14:editId="33BEBF8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ADC249F" w14:textId="77777777" w:rsidR="00826FB2" w:rsidRPr="00826FB2" w:rsidRDefault="00826FB2" w:rsidP="00826FB2">
          <w:pPr>
            <w:pStyle w:val="XLarge"/>
            <w:spacing w:before="109"/>
          </w:pPr>
          <w:r>
            <w:t>Secrétariat</w:t>
          </w:r>
        </w:p>
      </w:tc>
      <w:tc>
        <w:tcPr>
          <w:tcW w:w="245" w:type="dxa"/>
          <w:tcBorders>
            <w:top w:val="single" w:sz="4" w:space="0" w:color="auto"/>
            <w:bottom w:val="single" w:sz="12" w:space="0" w:color="auto"/>
          </w:tcBorders>
          <w:shd w:val="clear" w:color="auto" w:fill="auto"/>
        </w:tcPr>
        <w:p w14:paraId="7A75CB7D" w14:textId="77777777" w:rsidR="00826FB2" w:rsidRPr="00826FB2" w:rsidRDefault="00826FB2" w:rsidP="00826FB2">
          <w:pPr>
            <w:pStyle w:val="Header"/>
            <w:spacing w:before="109"/>
          </w:pPr>
        </w:p>
      </w:tc>
      <w:tc>
        <w:tcPr>
          <w:tcW w:w="3110" w:type="dxa"/>
          <w:tcBorders>
            <w:top w:val="single" w:sz="4" w:space="0" w:color="auto"/>
            <w:bottom w:val="single" w:sz="12" w:space="0" w:color="auto"/>
          </w:tcBorders>
          <w:shd w:val="clear" w:color="auto" w:fill="auto"/>
        </w:tcPr>
        <w:p w14:paraId="140C718D" w14:textId="4672CE63" w:rsidR="00826FB2" w:rsidRDefault="00826FB2" w:rsidP="00826FB2">
          <w:pPr>
            <w:pStyle w:val="Distribution"/>
            <w:rPr>
              <w:color w:val="000000"/>
            </w:rPr>
          </w:pPr>
        </w:p>
        <w:p w14:paraId="331833EA" w14:textId="55D27178" w:rsidR="00826FB2" w:rsidRPr="00826FB2" w:rsidRDefault="00826FB2" w:rsidP="00406E75">
          <w:pPr>
            <w:pStyle w:val="Publication"/>
            <w:rPr>
              <w:color w:val="000000"/>
            </w:rPr>
          </w:pPr>
          <w:r>
            <w:rPr>
              <w:color w:val="000000"/>
            </w:rPr>
            <w:t>26 décembre 2017</w:t>
          </w:r>
        </w:p>
      </w:tc>
    </w:tr>
  </w:tbl>
  <w:p w14:paraId="1F96D36A" w14:textId="77777777" w:rsidR="00826FB2" w:rsidRPr="00826FB2" w:rsidRDefault="00826FB2" w:rsidP="00826FB2">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CF0E0C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D31A295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ED32185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0BA0669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3364D"/>
    <w:multiLevelType w:val="hybridMultilevel"/>
    <w:tmpl w:val="69A8EEAC"/>
    <w:lvl w:ilvl="0" w:tplc="A4F6E68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765B50F8"/>
    <w:multiLevelType w:val="singleLevel"/>
    <w:tmpl w:val="8C9CB5A8"/>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3332*"/>
    <w:docVar w:name="CreationDt" w:val="29/12/2017 12:14 PM"/>
    <w:docVar w:name="DocCategory" w:val="Doc"/>
    <w:docVar w:name="DocType" w:val="Final"/>
    <w:docVar w:name="DutyStation" w:val="New York"/>
    <w:docVar w:name="FooterJN" w:val="17-23332"/>
    <w:docVar w:name="jobn" w:val="17-23332 (F)"/>
    <w:docVar w:name="jobnDT" w:val="17-23332 (F)   291217"/>
    <w:docVar w:name="jobnDTDT" w:val="17-23332 (F)   291217   291217"/>
    <w:docVar w:name="JobNo" w:val="1723332F"/>
    <w:docVar w:name="JobNo2" w:val="1746874F"/>
    <w:docVar w:name="LocalDrive" w:val="0"/>
    <w:docVar w:name="OandT" w:val="JMS"/>
    <w:docVar w:name="sss1" w:val="ST/SGB/2016/2/Rev.1"/>
    <w:docVar w:name="sss2" w:val="-"/>
    <w:docVar w:name="Symbol1" w:val="ST/SGB/2016/2/Rev.1"/>
    <w:docVar w:name="Symbol2" w:val="-"/>
  </w:docVars>
  <w:rsids>
    <w:rsidRoot w:val="00C3277F"/>
    <w:rsid w:val="00034E28"/>
    <w:rsid w:val="000859DB"/>
    <w:rsid w:val="00101B18"/>
    <w:rsid w:val="00166A0D"/>
    <w:rsid w:val="001E4B50"/>
    <w:rsid w:val="002478A0"/>
    <w:rsid w:val="00291526"/>
    <w:rsid w:val="002D7BB0"/>
    <w:rsid w:val="00382067"/>
    <w:rsid w:val="00406E75"/>
    <w:rsid w:val="00440C93"/>
    <w:rsid w:val="00480B84"/>
    <w:rsid w:val="004C1A25"/>
    <w:rsid w:val="00582918"/>
    <w:rsid w:val="00582D93"/>
    <w:rsid w:val="007531A5"/>
    <w:rsid w:val="00771C9E"/>
    <w:rsid w:val="0082045E"/>
    <w:rsid w:val="00826FB2"/>
    <w:rsid w:val="00917435"/>
    <w:rsid w:val="00993CB7"/>
    <w:rsid w:val="00A64AD5"/>
    <w:rsid w:val="00AD5F2F"/>
    <w:rsid w:val="00B858D5"/>
    <w:rsid w:val="00C3277F"/>
    <w:rsid w:val="00CB06FB"/>
    <w:rsid w:val="00CB63C5"/>
    <w:rsid w:val="00D12E4C"/>
    <w:rsid w:val="00D30376"/>
    <w:rsid w:val="00E343A6"/>
    <w:rsid w:val="00E7105F"/>
    <w:rsid w:val="00EF2DFA"/>
    <w:rsid w:val="00F26E13"/>
    <w:rsid w:val="00F5012D"/>
    <w:rsid w:val="00F73093"/>
    <w:rsid w:val="00F80850"/>
    <w:rsid w:val="00FA3D05"/>
    <w:rsid w:val="00FA5CC9"/>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B75D0"/>
  <w15:chartTrackingRefBased/>
  <w15:docId w15:val="{694E5DAD-44FE-406A-98A5-81B8CAD1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9D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859DB"/>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859DB"/>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859DB"/>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859DB"/>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859DB"/>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859DB"/>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859DB"/>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859DB"/>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859DB"/>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859DB"/>
    <w:pPr>
      <w:keepNext/>
      <w:keepLines/>
      <w:suppressAutoHyphens/>
      <w:spacing w:line="270" w:lineRule="exact"/>
      <w:outlineLvl w:val="0"/>
    </w:pPr>
    <w:rPr>
      <w:b/>
      <w:sz w:val="24"/>
    </w:rPr>
  </w:style>
  <w:style w:type="paragraph" w:customStyle="1" w:styleId="HCH">
    <w:name w:val="_ H _CH"/>
    <w:basedOn w:val="H1"/>
    <w:next w:val="SingleTxt"/>
    <w:qFormat/>
    <w:rsid w:val="000859DB"/>
    <w:pPr>
      <w:spacing w:line="300" w:lineRule="exact"/>
    </w:pPr>
    <w:rPr>
      <w:spacing w:val="-2"/>
      <w:sz w:val="28"/>
    </w:rPr>
  </w:style>
  <w:style w:type="paragraph" w:customStyle="1" w:styleId="HM">
    <w:name w:val="_ H __M"/>
    <w:basedOn w:val="HCH"/>
    <w:next w:val="Normal"/>
    <w:qFormat/>
    <w:rsid w:val="000859DB"/>
    <w:pPr>
      <w:spacing w:line="360" w:lineRule="exact"/>
    </w:pPr>
    <w:rPr>
      <w:spacing w:val="-3"/>
      <w:w w:val="99"/>
      <w:sz w:val="34"/>
    </w:rPr>
  </w:style>
  <w:style w:type="paragraph" w:customStyle="1" w:styleId="H23">
    <w:name w:val="_ H_2/3"/>
    <w:basedOn w:val="H1"/>
    <w:next w:val="Normal"/>
    <w:qFormat/>
    <w:rsid w:val="000859DB"/>
    <w:pPr>
      <w:spacing w:line="240" w:lineRule="exact"/>
      <w:outlineLvl w:val="1"/>
    </w:pPr>
    <w:rPr>
      <w:spacing w:val="2"/>
      <w:sz w:val="20"/>
    </w:rPr>
  </w:style>
  <w:style w:type="paragraph" w:customStyle="1" w:styleId="H4">
    <w:name w:val="_ H_4"/>
    <w:basedOn w:val="Normal"/>
    <w:next w:val="Normal"/>
    <w:qFormat/>
    <w:rsid w:val="000859DB"/>
    <w:pPr>
      <w:keepNext/>
      <w:keepLines/>
      <w:tabs>
        <w:tab w:val="right" w:pos="360"/>
      </w:tabs>
      <w:suppressAutoHyphens/>
      <w:outlineLvl w:val="3"/>
    </w:pPr>
    <w:rPr>
      <w:i/>
      <w:spacing w:val="3"/>
    </w:rPr>
  </w:style>
  <w:style w:type="paragraph" w:customStyle="1" w:styleId="H56">
    <w:name w:val="_ H_5/6"/>
    <w:basedOn w:val="Normal"/>
    <w:next w:val="Normal"/>
    <w:qFormat/>
    <w:rsid w:val="000859D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859D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859D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859DB"/>
    <w:pPr>
      <w:spacing w:line="540" w:lineRule="exact"/>
    </w:pPr>
    <w:rPr>
      <w:spacing w:val="-8"/>
      <w:w w:val="96"/>
      <w:sz w:val="57"/>
    </w:rPr>
  </w:style>
  <w:style w:type="paragraph" w:customStyle="1" w:styleId="SS">
    <w:name w:val="__S_S"/>
    <w:basedOn w:val="HCH"/>
    <w:next w:val="Normal"/>
    <w:qFormat/>
    <w:rsid w:val="000859DB"/>
    <w:pPr>
      <w:ind w:left="1267" w:right="1267"/>
    </w:pPr>
  </w:style>
  <w:style w:type="paragraph" w:customStyle="1" w:styleId="SingleTxt">
    <w:name w:val="__Single Txt"/>
    <w:basedOn w:val="Normal"/>
    <w:qFormat/>
    <w:rsid w:val="000859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859D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859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859D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859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859D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859DB"/>
    <w:pPr>
      <w:numPr>
        <w:numId w:val="5"/>
      </w:numPr>
      <w:spacing w:after="120"/>
      <w:ind w:right="1267"/>
      <w:jc w:val="both"/>
    </w:pPr>
  </w:style>
  <w:style w:type="paragraph" w:customStyle="1" w:styleId="Bullet2">
    <w:name w:val="Bullet 2"/>
    <w:basedOn w:val="Normal"/>
    <w:qFormat/>
    <w:rsid w:val="000859DB"/>
    <w:pPr>
      <w:numPr>
        <w:numId w:val="6"/>
      </w:numPr>
      <w:spacing w:after="120"/>
      <w:ind w:right="1264"/>
      <w:jc w:val="both"/>
    </w:pPr>
  </w:style>
  <w:style w:type="paragraph" w:customStyle="1" w:styleId="Bullet3">
    <w:name w:val="Bullet 3"/>
    <w:basedOn w:val="SingleTxt"/>
    <w:qFormat/>
    <w:rsid w:val="000859DB"/>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859D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859D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859DB"/>
    <w:pPr>
      <w:spacing w:line="210" w:lineRule="exact"/>
    </w:pPr>
    <w:rPr>
      <w:sz w:val="17"/>
      <w:szCs w:val="20"/>
    </w:rPr>
  </w:style>
  <w:style w:type="character" w:customStyle="1" w:styleId="EndnoteTextChar">
    <w:name w:val="Endnote Text Char"/>
    <w:link w:val="EndnoteText"/>
    <w:uiPriority w:val="99"/>
    <w:semiHidden/>
    <w:rsid w:val="000859D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859D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859D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859D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859DB"/>
    <w:pPr>
      <w:spacing w:line="210" w:lineRule="exact"/>
    </w:pPr>
    <w:rPr>
      <w:sz w:val="17"/>
      <w:szCs w:val="20"/>
    </w:rPr>
  </w:style>
  <w:style w:type="character" w:customStyle="1" w:styleId="FootnoteTextChar">
    <w:name w:val="Footnote Text Char"/>
    <w:link w:val="FootnoteText"/>
    <w:uiPriority w:val="99"/>
    <w:rsid w:val="000859D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859D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859D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859D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859D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859D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859D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859D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859D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859D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859D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859D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859DB"/>
    <w:rPr>
      <w:sz w:val="14"/>
    </w:rPr>
  </w:style>
  <w:style w:type="paragraph" w:styleId="ListParagraph">
    <w:name w:val="List Paragraph"/>
    <w:basedOn w:val="Normal"/>
    <w:uiPriority w:val="34"/>
    <w:rsid w:val="000859DB"/>
    <w:pPr>
      <w:ind w:left="720"/>
      <w:contextualSpacing/>
    </w:pPr>
  </w:style>
  <w:style w:type="paragraph" w:styleId="NoSpacing">
    <w:name w:val="No Spacing"/>
    <w:uiPriority w:val="1"/>
    <w:rsid w:val="000859D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859D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859D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859D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859DB"/>
    <w:pPr>
      <w:tabs>
        <w:tab w:val="right" w:pos="9965"/>
      </w:tabs>
      <w:spacing w:line="210" w:lineRule="exact"/>
    </w:pPr>
    <w:rPr>
      <w:spacing w:val="5"/>
      <w:w w:val="104"/>
      <w:sz w:val="17"/>
    </w:rPr>
  </w:style>
  <w:style w:type="paragraph" w:customStyle="1" w:styleId="SmallX">
    <w:name w:val="SmallX"/>
    <w:basedOn w:val="Small"/>
    <w:next w:val="Normal"/>
    <w:qFormat/>
    <w:rsid w:val="000859DB"/>
    <w:pPr>
      <w:spacing w:line="180" w:lineRule="exact"/>
      <w:jc w:val="right"/>
    </w:pPr>
    <w:rPr>
      <w:spacing w:val="6"/>
      <w:w w:val="106"/>
      <w:sz w:val="14"/>
    </w:rPr>
  </w:style>
  <w:style w:type="character" w:styleId="Strong">
    <w:name w:val="Strong"/>
    <w:uiPriority w:val="22"/>
    <w:rsid w:val="000859DB"/>
    <w:rPr>
      <w:b/>
      <w:bCs/>
    </w:rPr>
  </w:style>
  <w:style w:type="paragraph" w:customStyle="1" w:styleId="Style1">
    <w:name w:val="Style1"/>
    <w:basedOn w:val="Normal"/>
    <w:qFormat/>
    <w:rsid w:val="000859DB"/>
  </w:style>
  <w:style w:type="paragraph" w:customStyle="1" w:styleId="Style2">
    <w:name w:val="Style2"/>
    <w:basedOn w:val="Normal"/>
    <w:autoRedefine/>
    <w:qFormat/>
    <w:rsid w:val="000859DB"/>
  </w:style>
  <w:style w:type="paragraph" w:customStyle="1" w:styleId="TitleHCH">
    <w:name w:val="Title_H_CH"/>
    <w:basedOn w:val="H1"/>
    <w:next w:val="Normal"/>
    <w:qFormat/>
    <w:rsid w:val="000859D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859D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859D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826FB2"/>
    <w:rPr>
      <w:sz w:val="16"/>
      <w:szCs w:val="16"/>
    </w:rPr>
  </w:style>
  <w:style w:type="paragraph" w:styleId="CommentText">
    <w:name w:val="annotation text"/>
    <w:basedOn w:val="Normal"/>
    <w:link w:val="CommentTextChar"/>
    <w:uiPriority w:val="99"/>
    <w:semiHidden/>
    <w:unhideWhenUsed/>
    <w:rsid w:val="00826FB2"/>
    <w:pPr>
      <w:spacing w:line="240" w:lineRule="auto"/>
    </w:pPr>
    <w:rPr>
      <w:szCs w:val="20"/>
    </w:rPr>
  </w:style>
  <w:style w:type="character" w:customStyle="1" w:styleId="CommentTextChar">
    <w:name w:val="Comment Text Char"/>
    <w:basedOn w:val="DefaultParagraphFont"/>
    <w:link w:val="CommentText"/>
    <w:uiPriority w:val="99"/>
    <w:semiHidden/>
    <w:rsid w:val="00826FB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26FB2"/>
    <w:rPr>
      <w:b/>
      <w:bCs/>
    </w:rPr>
  </w:style>
  <w:style w:type="character" w:customStyle="1" w:styleId="CommentSubjectChar">
    <w:name w:val="Comment Subject Char"/>
    <w:basedOn w:val="CommentTextChar"/>
    <w:link w:val="CommentSubject"/>
    <w:uiPriority w:val="99"/>
    <w:semiHidden/>
    <w:rsid w:val="00826FB2"/>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06E75"/>
    <w:rPr>
      <w:color w:val="0000FF" w:themeColor="hyperlink"/>
      <w:u w:val="none"/>
    </w:rPr>
  </w:style>
  <w:style w:type="character" w:styleId="UnresolvedMention">
    <w:name w:val="Unresolved Mention"/>
    <w:basedOn w:val="DefaultParagraphFont"/>
    <w:uiPriority w:val="99"/>
    <w:semiHidden/>
    <w:unhideWhenUsed/>
    <w:rsid w:val="00406E75"/>
    <w:rPr>
      <w:color w:val="808080"/>
      <w:shd w:val="clear" w:color="auto" w:fill="E6E6E6"/>
    </w:rPr>
  </w:style>
  <w:style w:type="character" w:styleId="FollowedHyperlink">
    <w:name w:val="FollowedHyperlink"/>
    <w:basedOn w:val="DefaultParagraphFont"/>
    <w:uiPriority w:val="99"/>
    <w:semiHidden/>
    <w:unhideWhenUsed/>
    <w:rsid w:val="00034E2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68/2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SGB/2016/2" TargetMode="External"/><Relationship Id="rId2" Type="http://schemas.openxmlformats.org/officeDocument/2006/relationships/styles" Target="styles.xml"/><Relationship Id="rId16" Type="http://schemas.openxmlformats.org/officeDocument/2006/relationships/hyperlink" Target="https://undocs.org/fr/ST/AI/20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ST/AI/2010/3"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ST/SGB/2015/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Diana Guiu</cp:lastModifiedBy>
  <cp:revision>2</cp:revision>
  <cp:lastPrinted>2017-12-29T17:28:00Z</cp:lastPrinted>
  <dcterms:created xsi:type="dcterms:W3CDTF">2018-01-04T16:29:00Z</dcterms:created>
  <dcterms:modified xsi:type="dcterms:W3CDTF">2018-01-04T16:29:00Z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1723332F</vt:lpwstr>
  </property>
  <property fmtid="{D5CDD505-2E9C-101B-9397-08002B2CF9AE}" pid="3" name="ODSRefJobNo">
    <vt:lpwstr>1746874F</vt:lpwstr>
  </property>
  <property fmtid="{D5CDD505-2E9C-101B-9397-08002B2CF9AE}" pid="4" name="Symbol1">
    <vt:lpwstr>ST/SGB/2016/2/Rev.1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Release Date">
    <vt:lpwstr>291217</vt:lpwstr>
  </property>
  <property fmtid="{D5CDD505-2E9C-101B-9397-08002B2CF9AE}" pid="10" name="Comment">
    <vt:lpwstr/>
  </property>
  <property fmtid="{D5CDD505-2E9C-101B-9397-08002B2CF9AE}" pid="11" name="DraftPages">
    <vt:lpwstr> 2</vt:lpwstr>
  </property>
  <property fmtid="{D5CDD505-2E9C-101B-9397-08002B2CF9AE}" pid="12" name="Operator">
    <vt:lpwstr>JMS/JMS</vt:lpwstr>
  </property>
</Properties>
</file>