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A9CF5" w14:textId="77777777" w:rsidR="00117277" w:rsidRDefault="00117277" w:rsidP="00117277">
      <w:pPr>
        <w:spacing w:line="240" w:lineRule="auto"/>
        <w:rPr>
          <w:sz w:val="2"/>
        </w:rPr>
        <w:sectPr w:rsidR="00117277" w:rsidSect="007A7687">
          <w:headerReference w:type="even" r:id="rId9"/>
          <w:headerReference w:type="default" r:id="rId10"/>
          <w:footerReference w:type="even" r:id="rId11"/>
          <w:footerReference w:type="default" r:id="rId12"/>
          <w:headerReference w:type="first" r:id="rId13"/>
          <w:footerReference w:type="first" r:id="rId14"/>
          <w:pgSz w:w="12240" w:h="15840"/>
          <w:pgMar w:top="1440" w:right="1200" w:bottom="1728" w:left="1200" w:header="432" w:footer="576" w:gutter="0"/>
          <w:cols w:space="720"/>
          <w:titlePg/>
          <w:docGrid w:linePitch="360"/>
        </w:sectPr>
      </w:pPr>
      <w:bookmarkStart w:id="0" w:name="_GoBack"/>
      <w:bookmarkEnd w:id="0"/>
    </w:p>
    <w:p w14:paraId="2C4434AD" w14:textId="77777777" w:rsidR="007A7687" w:rsidRPr="007A7687" w:rsidRDefault="007A7687" w:rsidP="007A7687">
      <w:pPr>
        <w:pStyle w:val="TitleHCH"/>
        <w:ind w:right="1260"/>
        <w:rPr>
          <w:lang w:val="fr-FR"/>
        </w:rPr>
      </w:pPr>
      <w:r>
        <w:rPr>
          <w:lang w:val="fr-FR"/>
        </w:rPr>
        <w:lastRenderedPageBreak/>
        <w:tab/>
      </w:r>
      <w:r>
        <w:rPr>
          <w:lang w:val="fr-FR"/>
        </w:rPr>
        <w:tab/>
      </w:r>
      <w:r w:rsidRPr="007A7687">
        <w:rPr>
          <w:lang w:val="fr-FR"/>
        </w:rPr>
        <w:t>Circulaire</w:t>
      </w:r>
      <w:r w:rsidRPr="003A3559">
        <w:rPr>
          <w:b w:val="0"/>
          <w:sz w:val="20"/>
          <w:szCs w:val="20"/>
          <w:lang w:val="fr-FR"/>
        </w:rPr>
        <w:t>*</w:t>
      </w:r>
    </w:p>
    <w:p w14:paraId="4FA5AA3D" w14:textId="77777777" w:rsidR="007A7687" w:rsidRPr="007A7687" w:rsidRDefault="007A7687" w:rsidP="007A7687">
      <w:pPr>
        <w:pStyle w:val="SingleTxt"/>
        <w:spacing w:after="0" w:line="120" w:lineRule="exact"/>
        <w:rPr>
          <w:b/>
          <w:sz w:val="10"/>
          <w:lang w:val="fr-FR"/>
        </w:rPr>
      </w:pPr>
    </w:p>
    <w:p w14:paraId="2180B463" w14:textId="77777777" w:rsidR="007A7687" w:rsidRPr="007A7687" w:rsidRDefault="007A7687" w:rsidP="007A7687">
      <w:pPr>
        <w:pStyle w:val="SingleTxt"/>
        <w:spacing w:after="0" w:line="120" w:lineRule="exact"/>
        <w:rPr>
          <w:b/>
          <w:sz w:val="10"/>
          <w:lang w:val="fr-FR"/>
        </w:rPr>
      </w:pPr>
    </w:p>
    <w:p w14:paraId="619505B7" w14:textId="77777777" w:rsidR="007A7687" w:rsidRPr="007A7687" w:rsidRDefault="007A7687" w:rsidP="007A7687">
      <w:pPr>
        <w:pStyle w:val="SingleTxt"/>
        <w:spacing w:after="0" w:line="120" w:lineRule="exact"/>
        <w:rPr>
          <w:b/>
          <w:sz w:val="10"/>
          <w:lang w:val="fr-FR"/>
        </w:rPr>
      </w:pPr>
    </w:p>
    <w:p w14:paraId="2D092FD3" w14:textId="77777777" w:rsidR="007A7687" w:rsidRPr="007A7687" w:rsidRDefault="007A7687" w:rsidP="003A3559">
      <w:pPr>
        <w:pStyle w:val="SingleTxt"/>
        <w:spacing w:after="0"/>
        <w:rPr>
          <w:lang w:val="fr-FR"/>
        </w:rPr>
      </w:pPr>
      <w:r w:rsidRPr="007A7687">
        <w:rPr>
          <w:lang w:val="fr-FR"/>
        </w:rPr>
        <w:t xml:space="preserve">Circulaire de la Sous-Secrétaire générale à la </w:t>
      </w:r>
      <w:r>
        <w:rPr>
          <w:lang w:val="fr-FR"/>
        </w:rPr>
        <w:t>gestion des ressources humaines</w:t>
      </w:r>
    </w:p>
    <w:p w14:paraId="444EA881" w14:textId="2E48F853" w:rsidR="007A7687" w:rsidRPr="007A7687" w:rsidRDefault="007A7687" w:rsidP="007A7687">
      <w:pPr>
        <w:pStyle w:val="SingleTxt"/>
        <w:spacing w:after="0" w:line="120" w:lineRule="exact"/>
        <w:rPr>
          <w:sz w:val="10"/>
          <w:lang w:val="fr-FR"/>
        </w:rPr>
      </w:pPr>
    </w:p>
    <w:p w14:paraId="18A33282" w14:textId="4B7B9A81" w:rsidR="007A7687" w:rsidRPr="007A7687" w:rsidRDefault="007A7687" w:rsidP="007A7687">
      <w:pPr>
        <w:tabs>
          <w:tab w:val="right" w:pos="1080"/>
          <w:tab w:val="left" w:pos="1267"/>
        </w:tabs>
        <w:suppressAutoHyphens/>
        <w:spacing w:line="240" w:lineRule="auto"/>
        <w:ind w:left="1267" w:hanging="1267"/>
        <w:rPr>
          <w:lang w:val="fr-FR"/>
        </w:rPr>
      </w:pPr>
      <w:r w:rsidRPr="007A7687">
        <w:rPr>
          <w:w w:val="100"/>
          <w:lang w:val="fr-FR"/>
        </w:rPr>
        <w:t>Destinataires</w:t>
      </w:r>
      <w:r w:rsidR="00C6585B">
        <w:rPr>
          <w:w w:val="100"/>
          <w:lang w:val="fr-FR"/>
        </w:rPr>
        <w:t> :</w:t>
      </w:r>
      <w:r>
        <w:rPr>
          <w:lang w:val="fr-FR"/>
        </w:rPr>
        <w:tab/>
      </w:r>
      <w:r w:rsidRPr="007A7687">
        <w:rPr>
          <w:lang w:val="fr-FR"/>
        </w:rPr>
        <w:t>Les fonctionnaires du Secrétariat</w:t>
      </w:r>
    </w:p>
    <w:p w14:paraId="47D5704E" w14:textId="77777777" w:rsidR="007A7687" w:rsidRPr="007A7687" w:rsidRDefault="007A7687" w:rsidP="007A7687">
      <w:pPr>
        <w:pStyle w:val="SingleTxt"/>
        <w:spacing w:after="0" w:line="120" w:lineRule="exact"/>
        <w:rPr>
          <w:sz w:val="10"/>
          <w:lang w:val="fr-FR"/>
        </w:rPr>
      </w:pPr>
    </w:p>
    <w:p w14:paraId="62423A53" w14:textId="77777777" w:rsidR="007A7687" w:rsidRPr="007A7687" w:rsidRDefault="007A7687" w:rsidP="007A7687">
      <w:pPr>
        <w:pStyle w:val="SingleTxt"/>
        <w:spacing w:after="0" w:line="120" w:lineRule="exact"/>
        <w:rPr>
          <w:sz w:val="10"/>
          <w:lang w:val="fr-FR"/>
        </w:rPr>
      </w:pPr>
    </w:p>
    <w:p w14:paraId="21C461C3" w14:textId="5760B3C7" w:rsidR="007A7687" w:rsidRPr="007A7687" w:rsidRDefault="007A7687" w:rsidP="007A7687">
      <w:pPr>
        <w:pStyle w:val="TitleH1"/>
        <w:ind w:right="1260"/>
        <w:rPr>
          <w:lang w:val="fr-FR"/>
        </w:rPr>
      </w:pPr>
      <w:r w:rsidRPr="00300ADA">
        <w:rPr>
          <w:b w:val="0"/>
          <w:w w:val="100"/>
          <w:sz w:val="20"/>
          <w:lang w:val="fr-FR"/>
        </w:rPr>
        <w:tab/>
        <w:t>Objet</w:t>
      </w:r>
      <w:r w:rsidR="00C6585B">
        <w:rPr>
          <w:b w:val="0"/>
          <w:w w:val="100"/>
          <w:sz w:val="20"/>
          <w:lang w:val="fr-FR"/>
        </w:rPr>
        <w:t> :</w:t>
      </w:r>
      <w:r w:rsidRPr="00843E85">
        <w:rPr>
          <w:b w:val="0"/>
          <w:lang w:val="fr-FR"/>
        </w:rPr>
        <w:tab/>
      </w:r>
      <w:r w:rsidRPr="007A7687">
        <w:rPr>
          <w:lang w:val="fr-FR"/>
        </w:rPr>
        <w:t>Examen aux fins de l</w:t>
      </w:r>
      <w:r w:rsidR="00C6585B">
        <w:rPr>
          <w:lang w:val="fr-FR"/>
        </w:rPr>
        <w:t>’</w:t>
      </w:r>
      <w:r w:rsidRPr="007A7687">
        <w:rPr>
          <w:lang w:val="fr-FR"/>
        </w:rPr>
        <w:t>octroi d</w:t>
      </w:r>
      <w:r w:rsidR="00C6585B">
        <w:rPr>
          <w:lang w:val="fr-FR"/>
        </w:rPr>
        <w:t>’</w:t>
      </w:r>
      <w:r w:rsidRPr="007A7687">
        <w:rPr>
          <w:lang w:val="fr-FR"/>
        </w:rPr>
        <w:t xml:space="preserve">un engagement continu, </w:t>
      </w:r>
      <w:r>
        <w:rPr>
          <w:lang w:val="fr-FR"/>
        </w:rPr>
        <w:br/>
      </w:r>
      <w:r w:rsidRPr="007A7687">
        <w:rPr>
          <w:lang w:val="fr-FR"/>
        </w:rPr>
        <w:t>au 1</w:t>
      </w:r>
      <w:r w:rsidRPr="007A7687">
        <w:rPr>
          <w:vertAlign w:val="superscript"/>
          <w:lang w:val="fr-FR"/>
        </w:rPr>
        <w:t>er</w:t>
      </w:r>
      <w:r>
        <w:rPr>
          <w:vertAlign w:val="superscript"/>
          <w:lang w:val="fr-FR"/>
        </w:rPr>
        <w:t> </w:t>
      </w:r>
      <w:r w:rsidRPr="007A7687">
        <w:rPr>
          <w:lang w:val="fr-FR"/>
        </w:rPr>
        <w:t xml:space="preserve">juillet </w:t>
      </w:r>
      <w:r w:rsidR="008154EF" w:rsidRPr="007A7687">
        <w:rPr>
          <w:lang w:val="fr-FR"/>
        </w:rPr>
        <w:t>201</w:t>
      </w:r>
      <w:r w:rsidR="008154EF">
        <w:rPr>
          <w:lang w:val="fr-FR"/>
        </w:rPr>
        <w:t>4</w:t>
      </w:r>
    </w:p>
    <w:p w14:paraId="05E746FE" w14:textId="77777777" w:rsidR="007A7687" w:rsidRPr="007A7687" w:rsidRDefault="007A7687" w:rsidP="007A7687">
      <w:pPr>
        <w:pStyle w:val="SingleTxt"/>
        <w:spacing w:after="0" w:line="120" w:lineRule="exact"/>
        <w:rPr>
          <w:sz w:val="10"/>
          <w:lang w:val="fr-FR"/>
        </w:rPr>
      </w:pPr>
    </w:p>
    <w:p w14:paraId="149B26E3" w14:textId="77777777" w:rsidR="007A7687" w:rsidRPr="007A7687" w:rsidRDefault="007A7687" w:rsidP="007A7687">
      <w:pPr>
        <w:pStyle w:val="SingleTxt"/>
        <w:spacing w:after="0" w:line="120" w:lineRule="exact"/>
        <w:rPr>
          <w:sz w:val="10"/>
          <w:lang w:val="fr-FR"/>
        </w:rPr>
      </w:pPr>
    </w:p>
    <w:p w14:paraId="1F2F972D" w14:textId="5E2D6E7E" w:rsidR="007A7687" w:rsidRPr="007A7687" w:rsidRDefault="007A7687" w:rsidP="00843E85">
      <w:pPr>
        <w:pStyle w:val="SingleTxt"/>
        <w:numPr>
          <w:ilvl w:val="0"/>
          <w:numId w:val="42"/>
        </w:numPr>
        <w:spacing w:line="240" w:lineRule="exact"/>
        <w:ind w:left="1267" w:firstLine="0"/>
        <w:rPr>
          <w:lang w:val="fr-FR"/>
        </w:rPr>
      </w:pPr>
      <w:r w:rsidRPr="007A7687">
        <w:rPr>
          <w:lang w:val="fr-FR"/>
        </w:rPr>
        <w:t>La présente circulaire énonce la procédure de l</w:t>
      </w:r>
      <w:r w:rsidR="00C6585B">
        <w:rPr>
          <w:lang w:val="fr-FR"/>
        </w:rPr>
        <w:t>’</w:t>
      </w:r>
      <w:r w:rsidRPr="007A7687">
        <w:rPr>
          <w:lang w:val="fr-FR"/>
        </w:rPr>
        <w:t xml:space="preserve">examen annuel de 2014 destiné à déterminer quels fonctionnaires pourront prétendre à la conversion de leur engagement en engagement continu, conformément aux dispositions de la circulaire </w:t>
      </w:r>
      <w:hyperlink r:id="rId15" w:history="1">
        <w:r w:rsidRPr="007D6C92">
          <w:rPr>
            <w:rStyle w:val="Hyperlink"/>
            <w:lang w:val="fr-FR"/>
          </w:rPr>
          <w:t>ST/SGB/2011/9</w:t>
        </w:r>
      </w:hyperlink>
      <w:r w:rsidRPr="007A7687">
        <w:rPr>
          <w:lang w:val="fr-FR"/>
        </w:rPr>
        <w:t xml:space="preserve"> et de l</w:t>
      </w:r>
      <w:r w:rsidR="00C6585B">
        <w:rPr>
          <w:lang w:val="fr-FR"/>
        </w:rPr>
        <w:t>’</w:t>
      </w:r>
      <w:r w:rsidRPr="007A7687">
        <w:rPr>
          <w:lang w:val="fr-FR"/>
        </w:rPr>
        <w:t xml:space="preserve">instruction administrative </w:t>
      </w:r>
      <w:hyperlink r:id="rId16" w:history="1">
        <w:r w:rsidRPr="007D6C92">
          <w:rPr>
            <w:rStyle w:val="Hyperlink"/>
            <w:lang w:val="fr-FR"/>
          </w:rPr>
          <w:t>ST/AI/2012/3</w:t>
        </w:r>
      </w:hyperlink>
      <w:r w:rsidRPr="007A7687">
        <w:rPr>
          <w:lang w:val="fr-FR"/>
        </w:rPr>
        <w:t>.</w:t>
      </w:r>
    </w:p>
    <w:p w14:paraId="7FC76279" w14:textId="77777777" w:rsidR="007A7687" w:rsidRPr="007A7687" w:rsidRDefault="007A7687" w:rsidP="007A7687">
      <w:pPr>
        <w:pStyle w:val="SingleTxt"/>
        <w:spacing w:after="0" w:line="120" w:lineRule="exact"/>
        <w:rPr>
          <w:sz w:val="10"/>
          <w:lang w:val="fr-FR"/>
        </w:rPr>
      </w:pPr>
    </w:p>
    <w:p w14:paraId="1F19C6F4" w14:textId="0FF4BD61" w:rsidR="007A7687" w:rsidRPr="007A7687" w:rsidRDefault="007A7687" w:rsidP="007A76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A7687">
        <w:rPr>
          <w:lang w:val="fr-FR"/>
        </w:rPr>
        <w:tab/>
      </w:r>
      <w:r w:rsidRPr="007A7687">
        <w:rPr>
          <w:lang w:val="fr-FR"/>
        </w:rPr>
        <w:tab/>
        <w:t>Critères d</w:t>
      </w:r>
      <w:r w:rsidR="00C6585B">
        <w:rPr>
          <w:lang w:val="fr-FR"/>
        </w:rPr>
        <w:t>’</w:t>
      </w:r>
      <w:r w:rsidRPr="007A7687">
        <w:rPr>
          <w:lang w:val="fr-FR"/>
        </w:rPr>
        <w:t>admissibilité</w:t>
      </w:r>
    </w:p>
    <w:p w14:paraId="3AF23005" w14:textId="77777777" w:rsidR="007A7687" w:rsidRPr="007A7687" w:rsidRDefault="007A7687" w:rsidP="007A7687">
      <w:pPr>
        <w:pStyle w:val="SingleTxt"/>
        <w:spacing w:after="0" w:line="120" w:lineRule="exact"/>
        <w:rPr>
          <w:sz w:val="10"/>
          <w:lang w:val="en-GB"/>
        </w:rPr>
      </w:pPr>
    </w:p>
    <w:p w14:paraId="7828FE30" w14:textId="16EB8B81" w:rsidR="007A7687" w:rsidRPr="007A7687" w:rsidRDefault="007A7687" w:rsidP="00843E85">
      <w:pPr>
        <w:pStyle w:val="SingleTxt"/>
        <w:numPr>
          <w:ilvl w:val="0"/>
          <w:numId w:val="42"/>
        </w:numPr>
        <w:spacing w:line="240" w:lineRule="exact"/>
        <w:ind w:left="1267" w:firstLine="0"/>
        <w:rPr>
          <w:lang w:val="fr-FR"/>
        </w:rPr>
      </w:pPr>
      <w:r w:rsidRPr="007A7687">
        <w:rPr>
          <w:lang w:val="fr-FR"/>
        </w:rPr>
        <w:t>Pour pouvoir prétendre à un engagement continu, les fonctionnaires doivent, à</w:t>
      </w:r>
      <w:r w:rsidR="007D6C92">
        <w:rPr>
          <w:lang w:val="fr-FR"/>
        </w:rPr>
        <w:t> </w:t>
      </w:r>
      <w:r w:rsidRPr="007A7687">
        <w:rPr>
          <w:lang w:val="fr-FR"/>
        </w:rPr>
        <w:t>la date d</w:t>
      </w:r>
      <w:r w:rsidR="00C6585B">
        <w:rPr>
          <w:lang w:val="fr-FR"/>
        </w:rPr>
        <w:t>’</w:t>
      </w:r>
      <w:r w:rsidRPr="007A7687">
        <w:rPr>
          <w:lang w:val="fr-FR"/>
        </w:rPr>
        <w:t>admissibilité du 1</w:t>
      </w:r>
      <w:r w:rsidRPr="007A7687">
        <w:rPr>
          <w:vertAlign w:val="superscript"/>
          <w:lang w:val="fr-FR"/>
        </w:rPr>
        <w:t>er</w:t>
      </w:r>
      <w:r>
        <w:rPr>
          <w:lang w:val="fr-FR"/>
        </w:rPr>
        <w:t> </w:t>
      </w:r>
      <w:r w:rsidRPr="007A7687">
        <w:rPr>
          <w:lang w:val="fr-FR"/>
        </w:rPr>
        <w:t>juillet 2014, remplir les conditions énoncées à la section</w:t>
      </w:r>
      <w:r>
        <w:rPr>
          <w:lang w:val="fr-FR"/>
        </w:rPr>
        <w:t> </w:t>
      </w:r>
      <w:r w:rsidRPr="007A7687">
        <w:rPr>
          <w:lang w:val="fr-FR"/>
        </w:rPr>
        <w:t xml:space="preserve">2 de la circulaire </w:t>
      </w:r>
      <w:hyperlink r:id="rId17" w:history="1">
        <w:r w:rsidRPr="007D6C92">
          <w:rPr>
            <w:rStyle w:val="Hyperlink"/>
            <w:lang w:val="fr-FR"/>
          </w:rPr>
          <w:t>ST/SGB/2011/9</w:t>
        </w:r>
      </w:hyperlink>
      <w:r w:rsidRPr="007A7687">
        <w:rPr>
          <w:lang w:val="fr-FR"/>
        </w:rPr>
        <w:t xml:space="preserve"> sur les engagements continus et à la section</w:t>
      </w:r>
      <w:r>
        <w:rPr>
          <w:lang w:val="fr-FR"/>
        </w:rPr>
        <w:t> </w:t>
      </w:r>
      <w:r w:rsidRPr="007A7687">
        <w:rPr>
          <w:lang w:val="fr-FR"/>
        </w:rPr>
        <w:t>2 de l</w:t>
      </w:r>
      <w:r w:rsidR="00C6585B">
        <w:rPr>
          <w:lang w:val="fr-FR"/>
        </w:rPr>
        <w:t>’</w:t>
      </w:r>
      <w:r w:rsidRPr="007A7687">
        <w:rPr>
          <w:lang w:val="fr-FR"/>
        </w:rPr>
        <w:t xml:space="preserve">instruction administrative </w:t>
      </w:r>
      <w:hyperlink r:id="rId18" w:history="1">
        <w:r w:rsidRPr="007D6C92">
          <w:rPr>
            <w:rStyle w:val="Hyperlink"/>
            <w:lang w:val="fr-FR"/>
          </w:rPr>
          <w:t>ST/AI/2012/3</w:t>
        </w:r>
      </w:hyperlink>
      <w:r w:rsidRPr="007A7687">
        <w:rPr>
          <w:lang w:val="fr-FR"/>
        </w:rPr>
        <w:t xml:space="preserve"> sur l</w:t>
      </w:r>
      <w:r w:rsidR="00C6585B">
        <w:rPr>
          <w:lang w:val="fr-FR"/>
        </w:rPr>
        <w:t>’</w:t>
      </w:r>
      <w:r w:rsidRPr="007A7687">
        <w:rPr>
          <w:lang w:val="fr-FR"/>
        </w:rPr>
        <w:t xml:space="preserve">administration des engagements continus. </w:t>
      </w:r>
    </w:p>
    <w:p w14:paraId="57AC777D" w14:textId="77777777" w:rsidR="007A7687" w:rsidRPr="007A7687" w:rsidRDefault="007A7687" w:rsidP="007A7687">
      <w:pPr>
        <w:pStyle w:val="SingleTxt"/>
        <w:spacing w:after="0" w:line="120" w:lineRule="exact"/>
        <w:rPr>
          <w:b/>
          <w:sz w:val="10"/>
          <w:lang w:val="fr-FR"/>
        </w:rPr>
      </w:pPr>
    </w:p>
    <w:p w14:paraId="0E70E096" w14:textId="77777777" w:rsidR="007A7687" w:rsidRDefault="007A7687" w:rsidP="007A76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7A7687">
        <w:rPr>
          <w:lang w:val="fr-FR"/>
        </w:rPr>
        <w:tab/>
        <w:t xml:space="preserve">Procédures </w:t>
      </w:r>
    </w:p>
    <w:p w14:paraId="1B649CBB" w14:textId="77777777" w:rsidR="007A7687" w:rsidRPr="007A7687" w:rsidRDefault="007A7687" w:rsidP="007A7687">
      <w:pPr>
        <w:pStyle w:val="SingleTxt"/>
        <w:spacing w:after="0" w:line="120" w:lineRule="exact"/>
        <w:rPr>
          <w:sz w:val="10"/>
          <w:lang w:val="fr-FR"/>
        </w:rPr>
      </w:pPr>
    </w:p>
    <w:p w14:paraId="7DDD7B49" w14:textId="65538FCE" w:rsidR="007A7687" w:rsidRDefault="007A7687" w:rsidP="007A76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7A7687">
        <w:rPr>
          <w:lang w:val="fr-FR"/>
        </w:rPr>
        <w:tab/>
        <w:t>Enveloppes de postes de 2014 et disponibilité d</w:t>
      </w:r>
      <w:r w:rsidR="00C6585B">
        <w:rPr>
          <w:lang w:val="fr-FR"/>
        </w:rPr>
        <w:t>’</w:t>
      </w:r>
      <w:r w:rsidRPr="007A7687">
        <w:rPr>
          <w:lang w:val="fr-FR"/>
        </w:rPr>
        <w:t>engagements continus</w:t>
      </w:r>
      <w:r w:rsidRPr="003A3559">
        <w:rPr>
          <w:i w:val="0"/>
          <w:vertAlign w:val="superscript"/>
          <w:lang w:val="fr-FR"/>
        </w:rPr>
        <w:footnoteReference w:id="1"/>
      </w:r>
    </w:p>
    <w:p w14:paraId="34CF990E" w14:textId="77777777" w:rsidR="007A7687" w:rsidRPr="007A7687" w:rsidRDefault="007A7687" w:rsidP="007A7687">
      <w:pPr>
        <w:pStyle w:val="SingleTxt"/>
        <w:spacing w:after="0" w:line="120" w:lineRule="exact"/>
        <w:rPr>
          <w:sz w:val="10"/>
          <w:lang w:val="fr-FR"/>
        </w:rPr>
      </w:pPr>
    </w:p>
    <w:p w14:paraId="1B2F798B" w14:textId="2058DE6D" w:rsidR="007A7687" w:rsidRPr="007A7687" w:rsidRDefault="007A7687" w:rsidP="003A3559">
      <w:pPr>
        <w:pStyle w:val="SingleTxt"/>
        <w:numPr>
          <w:ilvl w:val="0"/>
          <w:numId w:val="43"/>
        </w:numPr>
        <w:spacing w:line="240" w:lineRule="exact"/>
        <w:rPr>
          <w:lang w:val="fr-FR"/>
        </w:rPr>
      </w:pPr>
      <w:r w:rsidRPr="007A7687">
        <w:rPr>
          <w:lang w:val="fr-FR"/>
        </w:rPr>
        <w:t>Aux fins du présent examen, la Sous-Secrétaire générale à la gestion des ressources humaines a fixé le nombre total des postes de chacune des enveloppes comme suit</w:t>
      </w:r>
      <w:r w:rsidR="00C6585B">
        <w:rPr>
          <w:lang w:val="fr-FR"/>
        </w:rPr>
        <w:t> :</w:t>
      </w:r>
      <w:r w:rsidRPr="007A7687">
        <w:rPr>
          <w:lang w:val="fr-FR"/>
        </w:rPr>
        <w:t xml:space="preserve"> 7</w:t>
      </w:r>
      <w:r>
        <w:rPr>
          <w:lang w:val="fr-FR"/>
        </w:rPr>
        <w:t> </w:t>
      </w:r>
      <w:r w:rsidRPr="007A7687">
        <w:rPr>
          <w:lang w:val="fr-FR"/>
        </w:rPr>
        <w:t>873</w:t>
      </w:r>
      <w:r>
        <w:rPr>
          <w:lang w:val="fr-FR"/>
        </w:rPr>
        <w:t> </w:t>
      </w:r>
      <w:r w:rsidRPr="007A7687">
        <w:rPr>
          <w:lang w:val="fr-FR"/>
        </w:rPr>
        <w:t>postes pour l</w:t>
      </w:r>
      <w:r w:rsidR="00C6585B">
        <w:rPr>
          <w:lang w:val="fr-FR"/>
        </w:rPr>
        <w:t>’</w:t>
      </w:r>
      <w:r w:rsidRPr="007A7687">
        <w:rPr>
          <w:lang w:val="fr-FR"/>
        </w:rPr>
        <w:t>enveloppe de la catégorie des administrateurs et fonctionnaires de rang supérieur et de la catégorie des agents du Service mobile et 4</w:t>
      </w:r>
      <w:r>
        <w:rPr>
          <w:lang w:val="fr-FR"/>
        </w:rPr>
        <w:t> </w:t>
      </w:r>
      <w:r w:rsidRPr="007A7687">
        <w:rPr>
          <w:lang w:val="fr-FR"/>
        </w:rPr>
        <w:t>149</w:t>
      </w:r>
      <w:r>
        <w:rPr>
          <w:lang w:val="fr-FR"/>
        </w:rPr>
        <w:t> </w:t>
      </w:r>
      <w:r w:rsidRPr="007A7687">
        <w:rPr>
          <w:lang w:val="fr-FR"/>
        </w:rPr>
        <w:t>postes pour l</w:t>
      </w:r>
      <w:r w:rsidR="00C6585B">
        <w:rPr>
          <w:lang w:val="fr-FR"/>
        </w:rPr>
        <w:t>’</w:t>
      </w:r>
      <w:r w:rsidRPr="007A7687">
        <w:rPr>
          <w:lang w:val="fr-FR"/>
        </w:rPr>
        <w:t>enveloppe de la catégorie des agents des services généraux et des catégories apparentées.</w:t>
      </w:r>
    </w:p>
    <w:p w14:paraId="0756799B" w14:textId="674DC131" w:rsidR="007A7687" w:rsidRPr="007A7687" w:rsidRDefault="007A7687" w:rsidP="003A3559">
      <w:pPr>
        <w:pStyle w:val="SingleTxt"/>
        <w:numPr>
          <w:ilvl w:val="0"/>
          <w:numId w:val="43"/>
        </w:numPr>
        <w:spacing w:line="240" w:lineRule="exact"/>
        <w:rPr>
          <w:i/>
          <w:lang w:val="fr-FR"/>
        </w:rPr>
      </w:pPr>
      <w:r w:rsidRPr="007A7687">
        <w:rPr>
          <w:lang w:val="fr-FR"/>
        </w:rPr>
        <w:t>Compte tenu du nombre total d</w:t>
      </w:r>
      <w:r w:rsidR="00C6585B">
        <w:rPr>
          <w:lang w:val="fr-FR"/>
        </w:rPr>
        <w:t>’</w:t>
      </w:r>
      <w:r w:rsidRPr="007A7687">
        <w:rPr>
          <w:lang w:val="fr-FR"/>
        </w:rPr>
        <w:t>engagements continus et permanents que contient actuellement chacune des deux enveloppes, il a été déterminé que le nombre total maximum d</w:t>
      </w:r>
      <w:r w:rsidR="00C6585B">
        <w:rPr>
          <w:lang w:val="fr-FR"/>
        </w:rPr>
        <w:t>’</w:t>
      </w:r>
      <w:r w:rsidRPr="007A7687">
        <w:rPr>
          <w:lang w:val="fr-FR"/>
        </w:rPr>
        <w:t xml:space="preserve">engagements continus pouvant être octroyés au titre du présent examen serait de 1 297 pour la catégorie des administrateurs et fonctionnaires de rang supérieur et celle des agents du Service mobile et de 437 pour la catégorie des agents des services généraux et des catégories apparentées. </w:t>
      </w:r>
    </w:p>
    <w:p w14:paraId="2B66E44D" w14:textId="2CF974DB" w:rsidR="007A7687" w:rsidRPr="007A7687" w:rsidRDefault="007A7687" w:rsidP="007A76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fr-FR"/>
        </w:rPr>
        <w:lastRenderedPageBreak/>
        <w:tab/>
      </w:r>
      <w:r>
        <w:rPr>
          <w:lang w:val="fr-FR"/>
        </w:rPr>
        <w:tab/>
      </w:r>
      <w:r w:rsidRPr="007A7687">
        <w:rPr>
          <w:lang w:val="fr-FR"/>
        </w:rPr>
        <w:t>Début du processus d</w:t>
      </w:r>
      <w:r w:rsidR="00C6585B">
        <w:rPr>
          <w:lang w:val="fr-FR"/>
        </w:rPr>
        <w:t>’</w:t>
      </w:r>
      <w:r w:rsidRPr="007A7687">
        <w:rPr>
          <w:lang w:val="fr-FR"/>
        </w:rPr>
        <w:t>examen</w:t>
      </w:r>
    </w:p>
    <w:p w14:paraId="25511B57" w14:textId="77777777" w:rsidR="007A7687" w:rsidRPr="007A7687" w:rsidRDefault="007A7687" w:rsidP="007A7687">
      <w:pPr>
        <w:pStyle w:val="SingleTxt"/>
        <w:spacing w:after="0" w:line="120" w:lineRule="exact"/>
        <w:rPr>
          <w:i/>
          <w:sz w:val="10"/>
          <w:lang w:val="en-GB"/>
        </w:rPr>
      </w:pPr>
    </w:p>
    <w:p w14:paraId="3392A961" w14:textId="61716CA5" w:rsidR="007A7687" w:rsidRPr="003A3559" w:rsidRDefault="007A7687" w:rsidP="0005390A">
      <w:pPr>
        <w:pStyle w:val="SingleTxt"/>
        <w:numPr>
          <w:ilvl w:val="0"/>
          <w:numId w:val="25"/>
        </w:numPr>
        <w:spacing w:line="240" w:lineRule="exact"/>
        <w:rPr>
          <w:i/>
          <w:spacing w:val="3"/>
          <w:lang w:val="fr-FR"/>
        </w:rPr>
      </w:pPr>
      <w:r w:rsidRPr="003A3559">
        <w:rPr>
          <w:spacing w:val="3"/>
          <w:lang w:val="fr-FR"/>
        </w:rPr>
        <w:t>Sur la base d</w:t>
      </w:r>
      <w:r w:rsidR="00C6585B">
        <w:rPr>
          <w:spacing w:val="3"/>
          <w:lang w:val="fr-FR"/>
        </w:rPr>
        <w:t>’</w:t>
      </w:r>
      <w:r w:rsidRPr="003A3559">
        <w:rPr>
          <w:spacing w:val="3"/>
          <w:lang w:val="fr-FR"/>
        </w:rPr>
        <w:t>un premier examen des engagements des cinq années précédant la date d</w:t>
      </w:r>
      <w:r w:rsidR="00C6585B">
        <w:rPr>
          <w:spacing w:val="3"/>
          <w:lang w:val="fr-FR"/>
        </w:rPr>
        <w:t>’</w:t>
      </w:r>
      <w:r w:rsidRPr="003A3559">
        <w:rPr>
          <w:spacing w:val="3"/>
          <w:lang w:val="fr-FR"/>
        </w:rPr>
        <w:t>admissibilité du 1</w:t>
      </w:r>
      <w:r w:rsidRPr="003A3559">
        <w:rPr>
          <w:spacing w:val="3"/>
          <w:vertAlign w:val="superscript"/>
          <w:lang w:val="fr-FR"/>
        </w:rPr>
        <w:t>er</w:t>
      </w:r>
      <w:r w:rsidR="007D6C92" w:rsidRPr="003A3559">
        <w:rPr>
          <w:spacing w:val="3"/>
          <w:lang w:val="fr-FR"/>
        </w:rPr>
        <w:t> </w:t>
      </w:r>
      <w:r w:rsidRPr="003A3559">
        <w:rPr>
          <w:spacing w:val="3"/>
          <w:lang w:val="fr-FR"/>
        </w:rPr>
        <w:t>juillet 2014, le Bureau de la gestion des ressources humaines a établi une liste préliminaire des candidats potentiels de chaque département ou bureau, qu</w:t>
      </w:r>
      <w:r w:rsidR="00C6585B">
        <w:rPr>
          <w:spacing w:val="3"/>
          <w:lang w:val="fr-FR"/>
        </w:rPr>
        <w:t>’</w:t>
      </w:r>
      <w:r w:rsidRPr="003A3559">
        <w:rPr>
          <w:spacing w:val="3"/>
          <w:lang w:val="fr-FR"/>
        </w:rPr>
        <w:t xml:space="preserve">il transmettra à ces derniers aux fins de vérification et de modification éventuelle, conformément </w:t>
      </w:r>
      <w:r w:rsidR="0005390A" w:rsidRPr="003A3559">
        <w:rPr>
          <w:spacing w:val="3"/>
          <w:lang w:val="fr-FR"/>
        </w:rPr>
        <w:t>à la section</w:t>
      </w:r>
      <w:r w:rsidR="007D6C92" w:rsidRPr="003A3559">
        <w:rPr>
          <w:spacing w:val="3"/>
          <w:lang w:val="fr-FR"/>
        </w:rPr>
        <w:t> </w:t>
      </w:r>
      <w:r w:rsidRPr="003A3559">
        <w:rPr>
          <w:spacing w:val="3"/>
          <w:lang w:val="fr-FR"/>
        </w:rPr>
        <w:t xml:space="preserve">5.2 de la circulaire </w:t>
      </w:r>
      <w:hyperlink r:id="rId19" w:history="1">
        <w:r w:rsidRPr="003A3559">
          <w:rPr>
            <w:rStyle w:val="Hyperlink"/>
            <w:spacing w:val="3"/>
            <w:lang w:val="fr-FR"/>
          </w:rPr>
          <w:t>ST/SGB/2011/9</w:t>
        </w:r>
      </w:hyperlink>
      <w:r w:rsidRPr="003A3559">
        <w:rPr>
          <w:spacing w:val="3"/>
          <w:lang w:val="fr-FR"/>
        </w:rPr>
        <w:t xml:space="preserve"> et au paragraphe</w:t>
      </w:r>
      <w:r w:rsidR="007D6C92" w:rsidRPr="003A3559">
        <w:rPr>
          <w:spacing w:val="3"/>
          <w:lang w:val="fr-FR"/>
        </w:rPr>
        <w:t> </w:t>
      </w:r>
      <w:r w:rsidRPr="003A3559">
        <w:rPr>
          <w:spacing w:val="3"/>
          <w:lang w:val="fr-FR"/>
        </w:rPr>
        <w:t>4.2</w:t>
      </w:r>
      <w:r w:rsidR="007D6C92" w:rsidRPr="003A3559">
        <w:rPr>
          <w:spacing w:val="3"/>
          <w:lang w:val="fr-FR"/>
        </w:rPr>
        <w:t> </w:t>
      </w:r>
      <w:r w:rsidRPr="003A3559">
        <w:rPr>
          <w:spacing w:val="3"/>
          <w:lang w:val="fr-FR"/>
        </w:rPr>
        <w:t>d) de l</w:t>
      </w:r>
      <w:r w:rsidR="00C6585B">
        <w:rPr>
          <w:spacing w:val="3"/>
          <w:lang w:val="fr-FR"/>
        </w:rPr>
        <w:t>’</w:t>
      </w:r>
      <w:r w:rsidRPr="003A3559">
        <w:rPr>
          <w:spacing w:val="3"/>
          <w:lang w:val="fr-FR"/>
        </w:rPr>
        <w:t xml:space="preserve">instruction administrative </w:t>
      </w:r>
      <w:hyperlink r:id="rId20" w:history="1">
        <w:r w:rsidRPr="003A3559">
          <w:rPr>
            <w:rStyle w:val="Hyperlink"/>
            <w:spacing w:val="3"/>
            <w:lang w:val="fr-FR"/>
          </w:rPr>
          <w:t>ST/AI/2012/3</w:t>
        </w:r>
      </w:hyperlink>
      <w:r w:rsidRPr="003A3559">
        <w:rPr>
          <w:spacing w:val="3"/>
          <w:lang w:val="fr-FR"/>
        </w:rPr>
        <w:t>.</w:t>
      </w:r>
    </w:p>
    <w:p w14:paraId="1C78C0BD" w14:textId="5761E702" w:rsidR="007A7687" w:rsidRPr="007A7687" w:rsidRDefault="007A7687" w:rsidP="007A7687">
      <w:pPr>
        <w:pStyle w:val="SingleTxt"/>
        <w:numPr>
          <w:ilvl w:val="0"/>
          <w:numId w:val="28"/>
        </w:numPr>
        <w:spacing w:line="240" w:lineRule="exact"/>
        <w:rPr>
          <w:lang w:val="fr-FR"/>
        </w:rPr>
      </w:pPr>
      <w:r w:rsidRPr="007A7687">
        <w:rPr>
          <w:lang w:val="fr-FR"/>
        </w:rPr>
        <w:t>Les candidats susceptibles de remplir les conditions recevront un message électronique généré automatiquement par Inspira, leur indiquant que leur nom a été transmis au chef de leur département ou de leur bureau en vue de l</w:t>
      </w:r>
      <w:r w:rsidR="00C6585B">
        <w:rPr>
          <w:lang w:val="fr-FR"/>
        </w:rPr>
        <w:t>’</w:t>
      </w:r>
      <w:r w:rsidRPr="007A7687">
        <w:rPr>
          <w:lang w:val="fr-FR"/>
        </w:rPr>
        <w:t>examen de leur dossier.</w:t>
      </w:r>
    </w:p>
    <w:p w14:paraId="5F86C59C" w14:textId="15ABA95E" w:rsidR="007A7687" w:rsidRPr="007A7687" w:rsidRDefault="007A7687" w:rsidP="007A7687">
      <w:pPr>
        <w:pStyle w:val="SingleTxt"/>
        <w:numPr>
          <w:ilvl w:val="0"/>
          <w:numId w:val="28"/>
        </w:numPr>
        <w:spacing w:line="240" w:lineRule="exact"/>
        <w:rPr>
          <w:lang w:val="fr-FR"/>
        </w:rPr>
      </w:pPr>
      <w:r w:rsidRPr="007A7687">
        <w:rPr>
          <w:lang w:val="fr-FR"/>
        </w:rPr>
        <w:t>Chaque chef de département ou de bureau détermine si les fonctionnaires relevant de sa responsabilité au moment de l</w:t>
      </w:r>
      <w:r w:rsidR="00C6585B">
        <w:rPr>
          <w:lang w:val="fr-FR"/>
        </w:rPr>
        <w:t>’</w:t>
      </w:r>
      <w:r w:rsidRPr="007A7687">
        <w:rPr>
          <w:lang w:val="fr-FR"/>
        </w:rPr>
        <w:t>examen remplissent les conditions requises. Si, à la date d</w:t>
      </w:r>
      <w:r w:rsidR="00C6585B">
        <w:rPr>
          <w:lang w:val="fr-FR"/>
        </w:rPr>
        <w:t>’</w:t>
      </w:r>
      <w:r w:rsidRPr="007A7687">
        <w:rPr>
          <w:lang w:val="fr-FR"/>
        </w:rPr>
        <w:t>admissibilité, un fonctionnaire est temporairement affecté dans un autre département ou bureau du Secrétariat que son département ou bureau d</w:t>
      </w:r>
      <w:r w:rsidR="00C6585B">
        <w:rPr>
          <w:lang w:val="fr-FR"/>
        </w:rPr>
        <w:t>’</w:t>
      </w:r>
      <w:r w:rsidRPr="007A7687">
        <w:rPr>
          <w:lang w:val="fr-FR"/>
        </w:rPr>
        <w:t xml:space="preserve">origine, son dossier est examiné par ce dernier, en consultation avec celui où il est en poste. </w:t>
      </w:r>
    </w:p>
    <w:p w14:paraId="5057DF4B" w14:textId="45453628" w:rsidR="007A7687" w:rsidRPr="007A7687" w:rsidRDefault="007A7687" w:rsidP="007A7687">
      <w:pPr>
        <w:pStyle w:val="SingleTxt"/>
        <w:numPr>
          <w:ilvl w:val="0"/>
          <w:numId w:val="29"/>
        </w:numPr>
        <w:spacing w:line="240" w:lineRule="exact"/>
        <w:rPr>
          <w:lang w:val="fr-FR"/>
        </w:rPr>
      </w:pPr>
      <w:r w:rsidRPr="007A7687">
        <w:rPr>
          <w:lang w:val="fr-FR"/>
        </w:rPr>
        <w:t>L</w:t>
      </w:r>
      <w:r w:rsidR="00C6585B">
        <w:rPr>
          <w:lang w:val="fr-FR"/>
        </w:rPr>
        <w:t>’</w:t>
      </w:r>
      <w:r w:rsidRPr="007A7687">
        <w:rPr>
          <w:lang w:val="fr-FR"/>
        </w:rPr>
        <w:t>examen se fera par Inspira. Seuls pourront accéder aux menus correspondants dans Inspira les fonctionnaires avertis conformément au paragraphe</w:t>
      </w:r>
      <w:r w:rsidR="008154EF">
        <w:rPr>
          <w:lang w:val="fr-FR"/>
        </w:rPr>
        <w:t> </w:t>
      </w:r>
      <w:r w:rsidRPr="007A7687">
        <w:rPr>
          <w:lang w:val="fr-FR"/>
        </w:rPr>
        <w:t xml:space="preserve">6 ci-dessus. Les fonctionnaires qui estiment remplir les conditions requises mais ne reçoivent pas de courrier électronique en ce sens doivent prendre contact avec leur service administratif ou leur bureau local des ressources humaines pour demander que leur dossier soit examiné et inclus avant la date limite, qui sera annoncée sur iSeek. </w:t>
      </w:r>
    </w:p>
    <w:p w14:paraId="561E101E" w14:textId="77777777" w:rsidR="007A7687" w:rsidRPr="007A7687" w:rsidRDefault="007A7687" w:rsidP="007A7687">
      <w:pPr>
        <w:pStyle w:val="SingleTxt"/>
        <w:spacing w:after="0" w:line="120" w:lineRule="exact"/>
        <w:rPr>
          <w:sz w:val="10"/>
          <w:lang w:val="fr-FR"/>
        </w:rPr>
      </w:pPr>
    </w:p>
    <w:p w14:paraId="5A5D40DD" w14:textId="051056FA" w:rsidR="007A7687" w:rsidRPr="007A7687" w:rsidRDefault="007A7687" w:rsidP="007A76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7A7687">
        <w:rPr>
          <w:lang w:val="fr-FR"/>
        </w:rPr>
        <w:t>Première étape</w:t>
      </w:r>
      <w:r w:rsidR="00C6585B">
        <w:rPr>
          <w:lang w:val="fr-FR"/>
        </w:rPr>
        <w:t> :</w:t>
      </w:r>
      <w:r w:rsidRPr="007A7687">
        <w:rPr>
          <w:lang w:val="fr-FR"/>
        </w:rPr>
        <w:t xml:space="preserve"> examen de l</w:t>
      </w:r>
      <w:r w:rsidR="00C6585B">
        <w:rPr>
          <w:lang w:val="fr-FR"/>
        </w:rPr>
        <w:t>’</w:t>
      </w:r>
      <w:r w:rsidRPr="007A7687">
        <w:rPr>
          <w:lang w:val="fr-FR"/>
        </w:rPr>
        <w:t>admissibilité</w:t>
      </w:r>
    </w:p>
    <w:p w14:paraId="468E42B0" w14:textId="77777777" w:rsidR="007A7687" w:rsidRPr="007A7687" w:rsidRDefault="007A7687" w:rsidP="007A7687">
      <w:pPr>
        <w:pStyle w:val="SingleTxt"/>
        <w:spacing w:after="0" w:line="120" w:lineRule="exact"/>
        <w:rPr>
          <w:sz w:val="10"/>
          <w:lang w:val="fr-FR"/>
        </w:rPr>
      </w:pPr>
    </w:p>
    <w:p w14:paraId="5AA14310" w14:textId="5AEA23C5" w:rsidR="007A7687" w:rsidRPr="007A7687" w:rsidRDefault="007A7687" w:rsidP="007D6C92">
      <w:pPr>
        <w:pStyle w:val="SingleTxt"/>
        <w:numPr>
          <w:ilvl w:val="0"/>
          <w:numId w:val="30"/>
        </w:numPr>
        <w:spacing w:line="240" w:lineRule="exact"/>
        <w:rPr>
          <w:lang w:val="fr-FR"/>
        </w:rPr>
      </w:pPr>
      <w:r w:rsidRPr="007A7687">
        <w:rPr>
          <w:lang w:val="fr-FR"/>
        </w:rPr>
        <w:t>Les fonctionnaires ayant été informés que leur dossier serait examiné auront la possibilité de formuler des observations sur les données qui s</w:t>
      </w:r>
      <w:r w:rsidR="00C6585B">
        <w:rPr>
          <w:lang w:val="fr-FR"/>
        </w:rPr>
        <w:t>’</w:t>
      </w:r>
      <w:r w:rsidRPr="007A7687">
        <w:rPr>
          <w:lang w:val="fr-FR"/>
        </w:rPr>
        <w:t>y trouvent. Les fonctionnaires qui souhaitent se prévaloir de cette possibilité pourront se connecter à Inspira, examiner les données concernant leur admissibilité, formuler des observations et verser des pièces à leur dossier avant la date limite, qui sera annoncée sur iSeek. Il est à noter que le fonctionnaire n</w:t>
      </w:r>
      <w:r w:rsidR="00C6585B">
        <w:rPr>
          <w:lang w:val="fr-FR"/>
        </w:rPr>
        <w:t>’</w:t>
      </w:r>
      <w:r w:rsidRPr="007A7687">
        <w:rPr>
          <w:lang w:val="fr-FR"/>
        </w:rPr>
        <w:t>est pas tenu de procéder à</w:t>
      </w:r>
      <w:r w:rsidR="007D6C92">
        <w:rPr>
          <w:lang w:val="fr-FR"/>
        </w:rPr>
        <w:t> </w:t>
      </w:r>
      <w:r w:rsidRPr="007A7687">
        <w:rPr>
          <w:lang w:val="fr-FR"/>
        </w:rPr>
        <w:t>cet examen. Après la date limite, le fonctionnaire ne pourra plus ajouter de renseignements à son dossier par Inspira et le service administratif ou le bureau local des ressources humaines procèdera à l</w:t>
      </w:r>
      <w:r w:rsidR="00C6585B">
        <w:rPr>
          <w:lang w:val="fr-FR"/>
        </w:rPr>
        <w:t>’</w:t>
      </w:r>
      <w:r w:rsidRPr="007A7687">
        <w:rPr>
          <w:lang w:val="fr-FR"/>
        </w:rPr>
        <w:t xml:space="preserve">examen des dossiers existants. </w:t>
      </w:r>
    </w:p>
    <w:p w14:paraId="77969094" w14:textId="1BE2FB97" w:rsidR="007A7687" w:rsidRPr="007A7687" w:rsidRDefault="007A7687" w:rsidP="007A7687">
      <w:pPr>
        <w:pStyle w:val="SingleTxt"/>
        <w:numPr>
          <w:ilvl w:val="0"/>
          <w:numId w:val="30"/>
        </w:numPr>
        <w:spacing w:line="240" w:lineRule="exact"/>
        <w:rPr>
          <w:lang w:val="fr-FR"/>
        </w:rPr>
      </w:pPr>
      <w:r w:rsidRPr="007A7687">
        <w:rPr>
          <w:lang w:val="fr-FR"/>
        </w:rPr>
        <w:t>Le service administratif ou le bureau local des ressources humaines examinera alors les données concernant les candidats susceptibles de remplir les conditions. Il peut alors prendre contact avec les fonctionnaires pour leur demander des précisions concernant les éléments fournis ou un complément d</w:t>
      </w:r>
      <w:r w:rsidR="00C6585B">
        <w:rPr>
          <w:lang w:val="fr-FR"/>
        </w:rPr>
        <w:t>’</w:t>
      </w:r>
      <w:r w:rsidRPr="007A7687">
        <w:rPr>
          <w:lang w:val="fr-FR"/>
        </w:rPr>
        <w:t>information. À l</w:t>
      </w:r>
      <w:r w:rsidR="00C6585B">
        <w:rPr>
          <w:lang w:val="fr-FR"/>
        </w:rPr>
        <w:t>’</w:t>
      </w:r>
      <w:r w:rsidRPr="007A7687">
        <w:rPr>
          <w:lang w:val="fr-FR"/>
        </w:rPr>
        <w:t>issue de l</w:t>
      </w:r>
      <w:r w:rsidR="00C6585B">
        <w:rPr>
          <w:lang w:val="fr-FR"/>
        </w:rPr>
        <w:t>’</w:t>
      </w:r>
      <w:r w:rsidRPr="007A7687">
        <w:rPr>
          <w:lang w:val="fr-FR"/>
        </w:rPr>
        <w:t xml:space="preserve">examen, il décide si le fonctionnaire peut prétendre à la conversion de son engagement en engagement continu. </w:t>
      </w:r>
    </w:p>
    <w:p w14:paraId="663580D0" w14:textId="7775242F" w:rsidR="007A7687" w:rsidRPr="007A7687" w:rsidRDefault="007A7687" w:rsidP="007A7687">
      <w:pPr>
        <w:pStyle w:val="SingleTxt"/>
        <w:numPr>
          <w:ilvl w:val="0"/>
          <w:numId w:val="31"/>
        </w:numPr>
        <w:spacing w:line="240" w:lineRule="exact"/>
        <w:rPr>
          <w:lang w:val="fr-FR"/>
        </w:rPr>
      </w:pPr>
      <w:r w:rsidRPr="007A7687">
        <w:rPr>
          <w:lang w:val="fr-FR"/>
        </w:rPr>
        <w:t>Puisqu</w:t>
      </w:r>
      <w:r w:rsidR="00C6585B">
        <w:rPr>
          <w:lang w:val="fr-FR"/>
        </w:rPr>
        <w:t>’</w:t>
      </w:r>
      <w:r w:rsidRPr="007A7687">
        <w:rPr>
          <w:lang w:val="fr-FR"/>
        </w:rPr>
        <w:t>il s</w:t>
      </w:r>
      <w:r w:rsidR="00C6585B">
        <w:rPr>
          <w:lang w:val="fr-FR"/>
        </w:rPr>
        <w:t>’</w:t>
      </w:r>
      <w:r w:rsidRPr="007A7687">
        <w:rPr>
          <w:lang w:val="fr-FR"/>
        </w:rPr>
        <w:t>agit d</w:t>
      </w:r>
      <w:r w:rsidR="00C6585B">
        <w:rPr>
          <w:lang w:val="fr-FR"/>
        </w:rPr>
        <w:t>’</w:t>
      </w:r>
      <w:r w:rsidRPr="007A7687">
        <w:rPr>
          <w:lang w:val="fr-FR"/>
        </w:rPr>
        <w:t>un examen d</w:t>
      </w:r>
      <w:r w:rsidR="00C6585B">
        <w:rPr>
          <w:lang w:val="fr-FR"/>
        </w:rPr>
        <w:t>’</w:t>
      </w:r>
      <w:r w:rsidRPr="007A7687">
        <w:rPr>
          <w:lang w:val="fr-FR"/>
        </w:rPr>
        <w:t xml:space="preserve">ensemble, les services administratifs et bureaux locaux des ressources humaines devront avoir déterminé à la même date, qui sera annoncée sur iSeek, si les fonctionnaires relevant de leur responsabilité remplissent les conditions. </w:t>
      </w:r>
    </w:p>
    <w:p w14:paraId="2D9B9FED" w14:textId="0E6C0E83" w:rsidR="007A7687" w:rsidRPr="007A7687" w:rsidRDefault="007A7687" w:rsidP="007A7687">
      <w:pPr>
        <w:pStyle w:val="SingleTxt"/>
        <w:numPr>
          <w:ilvl w:val="0"/>
          <w:numId w:val="31"/>
        </w:numPr>
        <w:spacing w:line="240" w:lineRule="exact"/>
        <w:rPr>
          <w:lang w:val="fr-FR"/>
        </w:rPr>
      </w:pPr>
      <w:r w:rsidRPr="007A7687">
        <w:rPr>
          <w:lang w:val="fr-FR"/>
        </w:rPr>
        <w:t>Une fois achevé cet examen, ils annoncent à l</w:t>
      </w:r>
      <w:r w:rsidR="00C6585B">
        <w:rPr>
          <w:lang w:val="fr-FR"/>
        </w:rPr>
        <w:t>’</w:t>
      </w:r>
      <w:r w:rsidRPr="007A7687">
        <w:rPr>
          <w:lang w:val="fr-FR"/>
        </w:rPr>
        <w:t>ensemble des fonctionnaires concernés s</w:t>
      </w:r>
      <w:r w:rsidR="00C6585B">
        <w:rPr>
          <w:lang w:val="fr-FR"/>
        </w:rPr>
        <w:t>’</w:t>
      </w:r>
      <w:r w:rsidRPr="007A7687">
        <w:rPr>
          <w:lang w:val="fr-FR"/>
        </w:rPr>
        <w:t>ils remplissent ou non les conditions requises.</w:t>
      </w:r>
    </w:p>
    <w:p w14:paraId="4653244F" w14:textId="77777777" w:rsidR="007A7687" w:rsidRPr="007A7687" w:rsidRDefault="007A7687" w:rsidP="007A7687">
      <w:pPr>
        <w:pStyle w:val="SingleTxt"/>
        <w:spacing w:after="0" w:line="120" w:lineRule="exact"/>
        <w:rPr>
          <w:sz w:val="10"/>
          <w:lang w:val="fr-FR"/>
        </w:rPr>
      </w:pPr>
    </w:p>
    <w:p w14:paraId="7EA4C309" w14:textId="4BF86F99" w:rsidR="007A7687" w:rsidRPr="007A7687" w:rsidRDefault="007A7687" w:rsidP="00C6585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7A7687">
        <w:rPr>
          <w:lang w:val="fr-FR"/>
        </w:rPr>
        <w:t>Deuxième étape</w:t>
      </w:r>
      <w:r w:rsidR="00C6585B">
        <w:rPr>
          <w:lang w:val="fr-FR"/>
        </w:rPr>
        <w:t> :</w:t>
      </w:r>
      <w:r w:rsidRPr="007A7687">
        <w:rPr>
          <w:lang w:val="fr-FR"/>
        </w:rPr>
        <w:t xml:space="preserve"> examen de l</w:t>
      </w:r>
      <w:r w:rsidR="00C6585B">
        <w:rPr>
          <w:lang w:val="fr-FR"/>
        </w:rPr>
        <w:t>’</w:t>
      </w:r>
      <w:r w:rsidRPr="007A7687">
        <w:rPr>
          <w:lang w:val="fr-FR"/>
        </w:rPr>
        <w:t>attribution des points</w:t>
      </w:r>
    </w:p>
    <w:p w14:paraId="11DB3665" w14:textId="77777777" w:rsidR="007A7687" w:rsidRPr="007A7687" w:rsidRDefault="007A7687" w:rsidP="003A3559">
      <w:pPr>
        <w:pStyle w:val="SingleTxt"/>
        <w:keepNext/>
        <w:keepLines/>
        <w:spacing w:after="0" w:line="120" w:lineRule="exact"/>
        <w:rPr>
          <w:i/>
          <w:sz w:val="10"/>
          <w:lang w:val="fr-FR"/>
        </w:rPr>
      </w:pPr>
    </w:p>
    <w:p w14:paraId="21C27990" w14:textId="255C7684" w:rsidR="007A7687" w:rsidRPr="007A7687" w:rsidRDefault="007A7687" w:rsidP="0005390A">
      <w:pPr>
        <w:pStyle w:val="SingleTxt"/>
        <w:numPr>
          <w:ilvl w:val="0"/>
          <w:numId w:val="31"/>
        </w:numPr>
        <w:spacing w:line="240" w:lineRule="exact"/>
        <w:rPr>
          <w:lang w:val="fr-FR"/>
        </w:rPr>
      </w:pPr>
      <w:r w:rsidRPr="007A7687">
        <w:rPr>
          <w:lang w:val="fr-FR"/>
        </w:rPr>
        <w:t>Si le nombre de postes d</w:t>
      </w:r>
      <w:r w:rsidR="00C6585B">
        <w:rPr>
          <w:lang w:val="fr-FR"/>
        </w:rPr>
        <w:t>’</w:t>
      </w:r>
      <w:r w:rsidRPr="007A7687">
        <w:rPr>
          <w:lang w:val="fr-FR"/>
        </w:rPr>
        <w:t>une enveloppe donnée dépasse le nombre de fonctionnaires remplissant les conditions, il n</w:t>
      </w:r>
      <w:r w:rsidR="00C6585B">
        <w:rPr>
          <w:lang w:val="fr-FR"/>
        </w:rPr>
        <w:t>’</w:t>
      </w:r>
      <w:r w:rsidRPr="007A7687">
        <w:rPr>
          <w:lang w:val="fr-FR"/>
        </w:rPr>
        <w:t>y a pas lieu de procéder à l</w:t>
      </w:r>
      <w:r w:rsidR="00C6585B">
        <w:rPr>
          <w:lang w:val="fr-FR"/>
        </w:rPr>
        <w:t>’</w:t>
      </w:r>
      <w:r w:rsidRPr="007A7687">
        <w:rPr>
          <w:lang w:val="fr-FR"/>
        </w:rPr>
        <w:t>examen de l</w:t>
      </w:r>
      <w:r w:rsidR="00C6585B">
        <w:rPr>
          <w:lang w:val="fr-FR"/>
        </w:rPr>
        <w:t>’</w:t>
      </w:r>
      <w:r w:rsidRPr="007A7687">
        <w:rPr>
          <w:lang w:val="fr-FR"/>
        </w:rPr>
        <w:t>attribution des points</w:t>
      </w:r>
      <w:r w:rsidR="00C6585B">
        <w:rPr>
          <w:lang w:val="fr-FR"/>
        </w:rPr>
        <w:t> :</w:t>
      </w:r>
      <w:r w:rsidRPr="007A7687">
        <w:rPr>
          <w:lang w:val="fr-FR"/>
        </w:rPr>
        <w:t xml:space="preserve"> tous les candidats se verront octroyer un engagement continu, conformément </w:t>
      </w:r>
      <w:r w:rsidR="0005390A">
        <w:rPr>
          <w:lang w:val="fr-FR"/>
        </w:rPr>
        <w:t>à la section</w:t>
      </w:r>
      <w:r w:rsidRPr="007A7687">
        <w:rPr>
          <w:lang w:val="fr-FR"/>
        </w:rPr>
        <w:t xml:space="preserve"> 5.3 de la circulaire </w:t>
      </w:r>
      <w:hyperlink r:id="rId21" w:history="1">
        <w:r w:rsidRPr="007D6C92">
          <w:rPr>
            <w:rStyle w:val="Hyperlink"/>
            <w:lang w:val="fr-FR"/>
          </w:rPr>
          <w:t>ST/SGB/2011/9</w:t>
        </w:r>
      </w:hyperlink>
      <w:r w:rsidRPr="007A7687">
        <w:rPr>
          <w:lang w:val="fr-FR"/>
        </w:rPr>
        <w:t>.</w:t>
      </w:r>
    </w:p>
    <w:p w14:paraId="3CBE5DFB" w14:textId="368A5C30" w:rsidR="007A7687" w:rsidRPr="007A7687" w:rsidRDefault="007A7687" w:rsidP="0005390A">
      <w:pPr>
        <w:pStyle w:val="SingleTxt"/>
        <w:numPr>
          <w:ilvl w:val="0"/>
          <w:numId w:val="33"/>
        </w:numPr>
        <w:spacing w:line="240" w:lineRule="exact"/>
        <w:rPr>
          <w:lang w:val="fr-FR"/>
        </w:rPr>
      </w:pPr>
      <w:r w:rsidRPr="007A7687">
        <w:rPr>
          <w:lang w:val="fr-FR"/>
        </w:rPr>
        <w:t>Si le nombre de postes d</w:t>
      </w:r>
      <w:r w:rsidR="00C6585B">
        <w:rPr>
          <w:lang w:val="fr-FR"/>
        </w:rPr>
        <w:t>’</w:t>
      </w:r>
      <w:r w:rsidRPr="007A7687">
        <w:rPr>
          <w:lang w:val="fr-FR"/>
        </w:rPr>
        <w:t>une enveloppe donnée est inférieur au nombre de fonctionnaires remplissant les conditions (après l</w:t>
      </w:r>
      <w:r w:rsidR="00C6585B">
        <w:rPr>
          <w:lang w:val="fr-FR"/>
        </w:rPr>
        <w:t>’</w:t>
      </w:r>
      <w:r w:rsidRPr="007A7687">
        <w:rPr>
          <w:lang w:val="fr-FR"/>
        </w:rPr>
        <w:t>examen de l</w:t>
      </w:r>
      <w:r w:rsidR="00C6585B">
        <w:rPr>
          <w:lang w:val="fr-FR"/>
        </w:rPr>
        <w:t>’</w:t>
      </w:r>
      <w:r w:rsidRPr="007A7687">
        <w:rPr>
          <w:lang w:val="fr-FR"/>
        </w:rPr>
        <w:t>admissibilité, voir première étape ci-dessus), les candidats dont le service administratif ou le bureau local des ressources humaines estime qu</w:t>
      </w:r>
      <w:r w:rsidR="00C6585B">
        <w:rPr>
          <w:lang w:val="fr-FR"/>
        </w:rPr>
        <w:t>’</w:t>
      </w:r>
      <w:r w:rsidRPr="007A7687">
        <w:rPr>
          <w:lang w:val="fr-FR"/>
        </w:rPr>
        <w:t>ils remplissent les conditions pourront à nouveau formuler des observations sur les données figurant dans leur dossier aux fins de l</w:t>
      </w:r>
      <w:r w:rsidR="00C6585B">
        <w:rPr>
          <w:lang w:val="fr-FR"/>
        </w:rPr>
        <w:t>’</w:t>
      </w:r>
      <w:r w:rsidRPr="007A7687">
        <w:rPr>
          <w:lang w:val="fr-FR"/>
        </w:rPr>
        <w:t>attribution des points</w:t>
      </w:r>
      <w:r w:rsidR="0005390A">
        <w:rPr>
          <w:lang w:val="fr-FR"/>
        </w:rPr>
        <w:t xml:space="preserve"> (voir à</w:t>
      </w:r>
      <w:r w:rsidRPr="007A7687">
        <w:rPr>
          <w:lang w:val="fr-FR"/>
        </w:rPr>
        <w:t xml:space="preserve"> l</w:t>
      </w:r>
      <w:r w:rsidR="00C6585B">
        <w:rPr>
          <w:lang w:val="fr-FR"/>
        </w:rPr>
        <w:t>’</w:t>
      </w:r>
      <w:r w:rsidRPr="007A7687">
        <w:rPr>
          <w:lang w:val="fr-FR"/>
        </w:rPr>
        <w:t xml:space="preserve">annexe de la présente circulaire </w:t>
      </w:r>
      <w:r w:rsidR="0005390A">
        <w:rPr>
          <w:lang w:val="fr-FR"/>
        </w:rPr>
        <w:t>la</w:t>
      </w:r>
      <w:r w:rsidR="0005390A" w:rsidRPr="007A7687">
        <w:rPr>
          <w:lang w:val="fr-FR"/>
        </w:rPr>
        <w:t xml:space="preserve"> </w:t>
      </w:r>
      <w:r w:rsidRPr="007A7687">
        <w:rPr>
          <w:lang w:val="fr-FR"/>
        </w:rPr>
        <w:t>liste des critères utilisés.</w:t>
      </w:r>
    </w:p>
    <w:p w14:paraId="6E2849C3" w14:textId="04D52FE5" w:rsidR="007A7687" w:rsidRPr="007A7687" w:rsidRDefault="007A7687" w:rsidP="007A7687">
      <w:pPr>
        <w:pStyle w:val="SingleTxt"/>
        <w:numPr>
          <w:ilvl w:val="0"/>
          <w:numId w:val="33"/>
        </w:numPr>
        <w:spacing w:line="240" w:lineRule="exact"/>
        <w:rPr>
          <w:lang w:val="fr-FR"/>
        </w:rPr>
      </w:pPr>
      <w:r w:rsidRPr="007A7687">
        <w:rPr>
          <w:lang w:val="fr-FR"/>
        </w:rPr>
        <w:t>Les fonctionnaires qui souhaitent se prévaloir de cette possibilité pourront se connecter à Inspira, examiner les données concernant les points qui leur sont attribués, formuler des observations et verser des pièces à leur dossier avant la date limite, qui sera annoncée sur iSeek. Il est à noter que le fonctionnaire n</w:t>
      </w:r>
      <w:r w:rsidR="00C6585B">
        <w:rPr>
          <w:lang w:val="fr-FR"/>
        </w:rPr>
        <w:t>’</w:t>
      </w:r>
      <w:r w:rsidRPr="007A7687">
        <w:rPr>
          <w:lang w:val="fr-FR"/>
        </w:rPr>
        <w:t>est pas tenu de procéder à cet examen. Après la date limite, le fonctionnaire ne pourra plus ajouter de renseignements à son dossier par Inspira et le service administratif ou le bureau local des ressources humaines procèdera à l</w:t>
      </w:r>
      <w:r w:rsidR="00C6585B">
        <w:rPr>
          <w:lang w:val="fr-FR"/>
        </w:rPr>
        <w:t>’</w:t>
      </w:r>
      <w:r w:rsidRPr="007A7687">
        <w:rPr>
          <w:lang w:val="fr-FR"/>
        </w:rPr>
        <w:t>examen des dossiers existants.</w:t>
      </w:r>
    </w:p>
    <w:p w14:paraId="1AA2A70B" w14:textId="2CF25F23" w:rsidR="007A7687" w:rsidRPr="007A7687" w:rsidRDefault="007A7687" w:rsidP="007D6C92">
      <w:pPr>
        <w:pStyle w:val="SingleTxt"/>
        <w:numPr>
          <w:ilvl w:val="0"/>
          <w:numId w:val="33"/>
        </w:numPr>
        <w:spacing w:line="240" w:lineRule="exact"/>
        <w:rPr>
          <w:lang w:val="fr-FR"/>
        </w:rPr>
      </w:pPr>
      <w:r w:rsidRPr="007A7687">
        <w:rPr>
          <w:lang w:val="fr-FR"/>
        </w:rPr>
        <w:t>À l</w:t>
      </w:r>
      <w:r w:rsidR="00C6585B">
        <w:rPr>
          <w:lang w:val="fr-FR"/>
        </w:rPr>
        <w:t>’</w:t>
      </w:r>
      <w:r w:rsidRPr="007A7687">
        <w:rPr>
          <w:lang w:val="fr-FR"/>
        </w:rPr>
        <w:t>issue de cet examen, le service administratif ou le bureau local des ressources humaines déterminera les points à attribuer à chaque candidat remplissant les conditions, conformément à la section</w:t>
      </w:r>
      <w:r w:rsidR="007D6C92">
        <w:rPr>
          <w:lang w:val="fr-FR"/>
        </w:rPr>
        <w:t> </w:t>
      </w:r>
      <w:r w:rsidRPr="007A7687">
        <w:rPr>
          <w:lang w:val="fr-FR"/>
        </w:rPr>
        <w:t>3 de l</w:t>
      </w:r>
      <w:r w:rsidR="00C6585B">
        <w:rPr>
          <w:lang w:val="fr-FR"/>
        </w:rPr>
        <w:t>’</w:t>
      </w:r>
      <w:r w:rsidRPr="007A7687">
        <w:rPr>
          <w:lang w:val="fr-FR"/>
        </w:rPr>
        <w:t xml:space="preserve">instruction administrative </w:t>
      </w:r>
      <w:hyperlink r:id="rId22" w:history="1">
        <w:r w:rsidRPr="007D6C92">
          <w:rPr>
            <w:rStyle w:val="Hyperlink"/>
            <w:lang w:val="fr-FR"/>
          </w:rPr>
          <w:t>ST/AI/2012/3</w:t>
        </w:r>
      </w:hyperlink>
      <w:r w:rsidRPr="007A7687">
        <w:rPr>
          <w:lang w:val="fr-FR"/>
        </w:rPr>
        <w:t>. Pendant la période d</w:t>
      </w:r>
      <w:r w:rsidR="00C6585B">
        <w:rPr>
          <w:lang w:val="fr-FR"/>
        </w:rPr>
        <w:t>’</w:t>
      </w:r>
      <w:r w:rsidRPr="007A7687">
        <w:rPr>
          <w:lang w:val="fr-FR"/>
        </w:rPr>
        <w:t>examen, il peut prendre contact avec les fonctionnaires pour demander des précisions concernant les éléments fournis ou un complément d</w:t>
      </w:r>
      <w:r w:rsidR="00C6585B">
        <w:rPr>
          <w:lang w:val="fr-FR"/>
        </w:rPr>
        <w:t>’</w:t>
      </w:r>
      <w:r w:rsidRPr="007A7687">
        <w:rPr>
          <w:lang w:val="fr-FR"/>
        </w:rPr>
        <w:t xml:space="preserve">information. </w:t>
      </w:r>
    </w:p>
    <w:p w14:paraId="6CEF055E" w14:textId="738A3E61" w:rsidR="007A7687" w:rsidRPr="007A7687" w:rsidRDefault="007A7687" w:rsidP="007A7687">
      <w:pPr>
        <w:pStyle w:val="SingleTxt"/>
        <w:numPr>
          <w:ilvl w:val="0"/>
          <w:numId w:val="33"/>
        </w:numPr>
        <w:spacing w:line="240" w:lineRule="exact"/>
        <w:rPr>
          <w:lang w:val="fr-FR"/>
        </w:rPr>
      </w:pPr>
      <w:r w:rsidRPr="007A7687">
        <w:rPr>
          <w:lang w:val="fr-FR"/>
        </w:rPr>
        <w:t>Les délais fixés pour l</w:t>
      </w:r>
      <w:r w:rsidR="00C6585B">
        <w:rPr>
          <w:lang w:val="fr-FR"/>
        </w:rPr>
        <w:t>’</w:t>
      </w:r>
      <w:r w:rsidRPr="007A7687">
        <w:rPr>
          <w:lang w:val="fr-FR"/>
        </w:rPr>
        <w:t>examen de l</w:t>
      </w:r>
      <w:r w:rsidR="00C6585B">
        <w:rPr>
          <w:lang w:val="fr-FR"/>
        </w:rPr>
        <w:t>’</w:t>
      </w:r>
      <w:r w:rsidRPr="007A7687">
        <w:rPr>
          <w:lang w:val="fr-FR"/>
        </w:rPr>
        <w:t>attribution des points seront annoncés aux services administratifs et aux bureaux locaux des ressources humaines une fois connu le nombre de dossiers à examiner. Ceux-ci devront avoir achevé dans les délais fixés, qui seront annoncés sur iSeek, l</w:t>
      </w:r>
      <w:r w:rsidR="00C6585B">
        <w:rPr>
          <w:lang w:val="fr-FR"/>
        </w:rPr>
        <w:t>’</w:t>
      </w:r>
      <w:r w:rsidRPr="007A7687">
        <w:rPr>
          <w:lang w:val="fr-FR"/>
        </w:rPr>
        <w:t>examen des points attribués à tous les fonctionnaires relevant de leur responsabilité.</w:t>
      </w:r>
    </w:p>
    <w:p w14:paraId="28ADE614" w14:textId="2D1F797F" w:rsidR="007A7687" w:rsidRPr="007A7687" w:rsidRDefault="007A7687" w:rsidP="007A7687">
      <w:pPr>
        <w:pStyle w:val="SingleTxt"/>
        <w:numPr>
          <w:ilvl w:val="0"/>
          <w:numId w:val="34"/>
        </w:numPr>
        <w:spacing w:line="240" w:lineRule="exact"/>
        <w:rPr>
          <w:lang w:val="fr-FR"/>
        </w:rPr>
      </w:pPr>
      <w:r w:rsidRPr="007A7687">
        <w:rPr>
          <w:lang w:val="fr-FR"/>
        </w:rPr>
        <w:t>Tous les fonctionnaires qui remplissent les conditions seront informés des points qui leur ont été attribués par leur service administratif ou bureau local des ressources humaines à l</w:t>
      </w:r>
      <w:r w:rsidR="00C6585B">
        <w:rPr>
          <w:lang w:val="fr-FR"/>
        </w:rPr>
        <w:t>’</w:t>
      </w:r>
      <w:r w:rsidRPr="007A7687">
        <w:rPr>
          <w:lang w:val="fr-FR"/>
        </w:rPr>
        <w:t>issue de la période d</w:t>
      </w:r>
      <w:r w:rsidR="00C6585B">
        <w:rPr>
          <w:lang w:val="fr-FR"/>
        </w:rPr>
        <w:t>’</w:t>
      </w:r>
      <w:r w:rsidRPr="007A7687">
        <w:rPr>
          <w:lang w:val="fr-FR"/>
        </w:rPr>
        <w:t>examen de l</w:t>
      </w:r>
      <w:r w:rsidR="00C6585B">
        <w:rPr>
          <w:lang w:val="fr-FR"/>
        </w:rPr>
        <w:t>’</w:t>
      </w:r>
      <w:r w:rsidRPr="007A7687">
        <w:rPr>
          <w:lang w:val="fr-FR"/>
        </w:rPr>
        <w:t>attribution des points.</w:t>
      </w:r>
    </w:p>
    <w:p w14:paraId="32605BB7" w14:textId="77777777" w:rsidR="007A7687" w:rsidRPr="007A7687" w:rsidRDefault="007A7687" w:rsidP="007A7687">
      <w:pPr>
        <w:pStyle w:val="SingleTxt"/>
        <w:spacing w:after="0" w:line="120" w:lineRule="exact"/>
        <w:rPr>
          <w:i/>
          <w:sz w:val="10"/>
          <w:lang w:val="fr-FR"/>
        </w:rPr>
      </w:pPr>
    </w:p>
    <w:p w14:paraId="35AB5C24" w14:textId="77777777" w:rsidR="007A7687" w:rsidRPr="007A7687" w:rsidRDefault="007A7687" w:rsidP="007A76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fr-FR"/>
        </w:rPr>
        <w:tab/>
      </w:r>
      <w:r>
        <w:rPr>
          <w:lang w:val="fr-FR"/>
        </w:rPr>
        <w:tab/>
      </w:r>
      <w:r w:rsidRPr="00473B9A">
        <w:rPr>
          <w:lang w:val="fr-FR"/>
        </w:rPr>
        <w:t>Classement final</w:t>
      </w:r>
    </w:p>
    <w:p w14:paraId="09FA90B2" w14:textId="77777777" w:rsidR="007A7687" w:rsidRPr="007A7687" w:rsidRDefault="007A7687" w:rsidP="007A7687">
      <w:pPr>
        <w:pStyle w:val="SingleTxt"/>
        <w:spacing w:after="0" w:line="120" w:lineRule="exact"/>
        <w:rPr>
          <w:sz w:val="10"/>
          <w:lang w:val="en-GB"/>
        </w:rPr>
      </w:pPr>
    </w:p>
    <w:p w14:paraId="6C8DB84E" w14:textId="78BBBB32" w:rsidR="007A7687" w:rsidRPr="007A7687" w:rsidRDefault="007A7687" w:rsidP="0005390A">
      <w:pPr>
        <w:pStyle w:val="SingleTxt"/>
        <w:numPr>
          <w:ilvl w:val="0"/>
          <w:numId w:val="35"/>
        </w:numPr>
        <w:spacing w:line="240" w:lineRule="exact"/>
        <w:rPr>
          <w:lang w:val="fr-FR"/>
        </w:rPr>
      </w:pPr>
      <w:r w:rsidRPr="007A7687">
        <w:rPr>
          <w:lang w:val="fr-FR"/>
        </w:rPr>
        <w:t>Une fois que tous les chefs de département ou de bureau ont transmis au Bureau de la gestion des ressources humaines la liste définitive des fonctionnaires relevant de leur responsabilité et remplissant les conditions, avec le nombre de points attribué</w:t>
      </w:r>
      <w:r w:rsidR="003A3559">
        <w:rPr>
          <w:lang w:val="fr-FR"/>
        </w:rPr>
        <w:t>s</w:t>
      </w:r>
      <w:r w:rsidRPr="007A7687">
        <w:rPr>
          <w:lang w:val="fr-FR"/>
        </w:rPr>
        <w:t xml:space="preserve"> à chacun, le Bureau compile les informations reçues et établit deux listes de fonctionnaires classés par ordre de points attribué</w:t>
      </w:r>
      <w:r w:rsidR="003A3559">
        <w:rPr>
          <w:lang w:val="fr-FR"/>
        </w:rPr>
        <w:t>s</w:t>
      </w:r>
      <w:r w:rsidRPr="007A7687">
        <w:rPr>
          <w:lang w:val="fr-FR"/>
        </w:rPr>
        <w:t>, l</w:t>
      </w:r>
      <w:r w:rsidR="00C6585B">
        <w:rPr>
          <w:lang w:val="fr-FR"/>
        </w:rPr>
        <w:t>’</w:t>
      </w:r>
      <w:r w:rsidRPr="007A7687">
        <w:rPr>
          <w:lang w:val="fr-FR"/>
        </w:rPr>
        <w:t>une pour les administrateurs et fonctionnaires de rang supérieur et les agents du Service mobile, l</w:t>
      </w:r>
      <w:r w:rsidR="00C6585B">
        <w:rPr>
          <w:lang w:val="fr-FR"/>
        </w:rPr>
        <w:t>’</w:t>
      </w:r>
      <w:r w:rsidRPr="007A7687">
        <w:rPr>
          <w:lang w:val="fr-FR"/>
        </w:rPr>
        <w:t xml:space="preserve">autre pour les agents des services généraux et des catégories apparentées, conformément </w:t>
      </w:r>
      <w:r w:rsidR="0005390A">
        <w:rPr>
          <w:lang w:val="fr-FR"/>
        </w:rPr>
        <w:t>à la section</w:t>
      </w:r>
      <w:r>
        <w:rPr>
          <w:lang w:val="fr-FR"/>
        </w:rPr>
        <w:t> </w:t>
      </w:r>
      <w:r w:rsidRPr="007A7687">
        <w:rPr>
          <w:lang w:val="fr-FR"/>
        </w:rPr>
        <w:t xml:space="preserve">5.3 de la circulaire </w:t>
      </w:r>
      <w:hyperlink r:id="rId23" w:history="1">
        <w:r w:rsidRPr="007D6C92">
          <w:rPr>
            <w:rStyle w:val="Hyperlink"/>
            <w:lang w:val="fr-FR"/>
          </w:rPr>
          <w:t>ST/SGB/2011/9</w:t>
        </w:r>
      </w:hyperlink>
      <w:r w:rsidRPr="007A7687">
        <w:rPr>
          <w:lang w:val="fr-FR"/>
        </w:rPr>
        <w:t>.</w:t>
      </w:r>
    </w:p>
    <w:p w14:paraId="13E478A8" w14:textId="77777777" w:rsidR="007A7687" w:rsidRPr="007A7687" w:rsidRDefault="007A7687" w:rsidP="007A7687">
      <w:pPr>
        <w:pStyle w:val="SingleTxt"/>
        <w:numPr>
          <w:ilvl w:val="0"/>
          <w:numId w:val="36"/>
        </w:numPr>
        <w:spacing w:line="240" w:lineRule="exact"/>
        <w:rPr>
          <w:lang w:val="fr-FR"/>
        </w:rPr>
      </w:pPr>
      <w:r w:rsidRPr="007A7687">
        <w:rPr>
          <w:lang w:val="fr-FR"/>
        </w:rPr>
        <w:t>Les fonctionnaires ayant obtenu le même nombre de points sont départagés sur la base de la durée de service continu.</w:t>
      </w:r>
    </w:p>
    <w:p w14:paraId="3EF5834C" w14:textId="063F005C" w:rsidR="007A7687" w:rsidRPr="007A7687" w:rsidRDefault="007A7687" w:rsidP="007A7687">
      <w:pPr>
        <w:pStyle w:val="SingleTxt"/>
        <w:numPr>
          <w:ilvl w:val="0"/>
          <w:numId w:val="37"/>
        </w:numPr>
        <w:spacing w:line="240" w:lineRule="exact"/>
        <w:rPr>
          <w:lang w:val="fr-FR"/>
        </w:rPr>
      </w:pPr>
      <w:r w:rsidRPr="007A7687">
        <w:rPr>
          <w:lang w:val="fr-FR"/>
        </w:rPr>
        <w:t>Puisqu</w:t>
      </w:r>
      <w:r w:rsidR="00C6585B">
        <w:rPr>
          <w:lang w:val="fr-FR"/>
        </w:rPr>
        <w:t>’</w:t>
      </w:r>
      <w:r w:rsidRPr="007A7687">
        <w:rPr>
          <w:lang w:val="fr-FR"/>
        </w:rPr>
        <w:t>il s</w:t>
      </w:r>
      <w:r w:rsidR="00C6585B">
        <w:rPr>
          <w:lang w:val="fr-FR"/>
        </w:rPr>
        <w:t>’</w:t>
      </w:r>
      <w:r w:rsidRPr="007A7687">
        <w:rPr>
          <w:lang w:val="fr-FR"/>
        </w:rPr>
        <w:t>agit d</w:t>
      </w:r>
      <w:r w:rsidR="00C6585B">
        <w:rPr>
          <w:lang w:val="fr-FR"/>
        </w:rPr>
        <w:t>’</w:t>
      </w:r>
      <w:r w:rsidRPr="007A7687">
        <w:rPr>
          <w:lang w:val="fr-FR"/>
        </w:rPr>
        <w:t>un examen d</w:t>
      </w:r>
      <w:r w:rsidR="00C6585B">
        <w:rPr>
          <w:lang w:val="fr-FR"/>
        </w:rPr>
        <w:t>’</w:t>
      </w:r>
      <w:r w:rsidRPr="007A7687">
        <w:rPr>
          <w:lang w:val="fr-FR"/>
        </w:rPr>
        <w:t>ensemble, il n</w:t>
      </w:r>
      <w:r w:rsidR="00C6585B">
        <w:rPr>
          <w:lang w:val="fr-FR"/>
        </w:rPr>
        <w:t>’</w:t>
      </w:r>
      <w:r w:rsidRPr="007A7687">
        <w:rPr>
          <w:lang w:val="fr-FR"/>
        </w:rPr>
        <w:t>y a aucun lien entre le nombre de postes de chaque enveloppe revenant à un département ou bureau et le nombre de fonctionnaires de ce département ou bureau qui peuvent prétendre à un engagement continu.</w:t>
      </w:r>
    </w:p>
    <w:p w14:paraId="6BBAD246" w14:textId="06F1B4C7" w:rsidR="007A7687" w:rsidRPr="007A7687" w:rsidRDefault="007A7687" w:rsidP="007A76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7687">
        <w:rPr>
          <w:lang w:val="fr-FR"/>
        </w:rPr>
        <w:tab/>
      </w:r>
      <w:r w:rsidRPr="007A7687">
        <w:rPr>
          <w:lang w:val="fr-FR"/>
        </w:rPr>
        <w:tab/>
        <w:t xml:space="preserve">Examen par le Bureau de la gestion des ressources humaines </w:t>
      </w:r>
      <w:r>
        <w:rPr>
          <w:lang w:val="fr-FR"/>
        </w:rPr>
        <w:br/>
      </w:r>
      <w:r w:rsidRPr="007A7687">
        <w:rPr>
          <w:lang w:val="fr-FR"/>
        </w:rPr>
        <w:t>et octroi des engagements</w:t>
      </w:r>
    </w:p>
    <w:p w14:paraId="7921B532" w14:textId="77777777" w:rsidR="007A7687" w:rsidRPr="007A7687" w:rsidRDefault="007A7687" w:rsidP="007A7687">
      <w:pPr>
        <w:pStyle w:val="SingleTxt"/>
        <w:spacing w:after="0" w:line="120" w:lineRule="exact"/>
        <w:rPr>
          <w:sz w:val="10"/>
          <w:lang w:val="fr-FR"/>
        </w:rPr>
      </w:pPr>
    </w:p>
    <w:p w14:paraId="1D31436A" w14:textId="0791EFD0" w:rsidR="007A7687" w:rsidRPr="007A7687" w:rsidRDefault="007A7687" w:rsidP="0005390A">
      <w:pPr>
        <w:pStyle w:val="SingleTxt"/>
        <w:numPr>
          <w:ilvl w:val="0"/>
          <w:numId w:val="37"/>
        </w:numPr>
        <w:spacing w:line="240" w:lineRule="exact"/>
        <w:rPr>
          <w:lang w:val="fr-FR"/>
        </w:rPr>
      </w:pPr>
      <w:r w:rsidRPr="007A7687">
        <w:rPr>
          <w:lang w:val="fr-FR"/>
        </w:rPr>
        <w:t>Avant de décider de l</w:t>
      </w:r>
      <w:r w:rsidR="00C6585B">
        <w:rPr>
          <w:lang w:val="fr-FR"/>
        </w:rPr>
        <w:t>’</w:t>
      </w:r>
      <w:r w:rsidRPr="007A7687">
        <w:rPr>
          <w:lang w:val="fr-FR"/>
        </w:rPr>
        <w:t>octroi d</w:t>
      </w:r>
      <w:r w:rsidR="00C6585B">
        <w:rPr>
          <w:lang w:val="fr-FR"/>
        </w:rPr>
        <w:t>’</w:t>
      </w:r>
      <w:r w:rsidRPr="007A7687">
        <w:rPr>
          <w:lang w:val="fr-FR"/>
        </w:rPr>
        <w:t>engagements continus, le Bureau de la gestion des ressources humaines examinera les dossiers des fonctionnaires les mieux notés pour s</w:t>
      </w:r>
      <w:r w:rsidR="00C6585B">
        <w:rPr>
          <w:lang w:val="fr-FR"/>
        </w:rPr>
        <w:t>’</w:t>
      </w:r>
      <w:r w:rsidRPr="007A7687">
        <w:rPr>
          <w:lang w:val="fr-FR"/>
        </w:rPr>
        <w:t>assurer qu</w:t>
      </w:r>
      <w:r w:rsidR="00C6585B">
        <w:rPr>
          <w:lang w:val="fr-FR"/>
        </w:rPr>
        <w:t>’</w:t>
      </w:r>
      <w:r w:rsidRPr="007A7687">
        <w:rPr>
          <w:lang w:val="fr-FR"/>
        </w:rPr>
        <w:t>ils satisfont toujours aux critères visés aux alinéas</w:t>
      </w:r>
      <w:r w:rsidR="007D6C92">
        <w:rPr>
          <w:lang w:val="fr-FR"/>
        </w:rPr>
        <w:t> </w:t>
      </w:r>
      <w:r w:rsidRPr="007A7687">
        <w:rPr>
          <w:lang w:val="fr-FR"/>
        </w:rPr>
        <w:t xml:space="preserve">b), e) et f) </w:t>
      </w:r>
      <w:r w:rsidR="0005390A">
        <w:rPr>
          <w:lang w:val="fr-FR"/>
        </w:rPr>
        <w:t>de la section</w:t>
      </w:r>
      <w:r>
        <w:rPr>
          <w:lang w:val="fr-FR"/>
        </w:rPr>
        <w:t> </w:t>
      </w:r>
      <w:r w:rsidRPr="007A7687">
        <w:rPr>
          <w:lang w:val="fr-FR"/>
        </w:rPr>
        <w:t xml:space="preserve">2.1 de la circulaire </w:t>
      </w:r>
      <w:hyperlink r:id="rId24" w:history="1">
        <w:r w:rsidRPr="007D6C92">
          <w:rPr>
            <w:rStyle w:val="Hyperlink"/>
            <w:lang w:val="fr-FR"/>
          </w:rPr>
          <w:t>ST/SGB/2011/9</w:t>
        </w:r>
      </w:hyperlink>
      <w:r w:rsidRPr="007A7687">
        <w:rPr>
          <w:lang w:val="fr-FR"/>
        </w:rPr>
        <w:t xml:space="preserve"> au moment de l</w:t>
      </w:r>
      <w:r w:rsidR="00C6585B">
        <w:rPr>
          <w:lang w:val="fr-FR"/>
        </w:rPr>
        <w:t>’</w:t>
      </w:r>
      <w:r w:rsidRPr="007A7687">
        <w:rPr>
          <w:lang w:val="fr-FR"/>
        </w:rPr>
        <w:t>octroi de l</w:t>
      </w:r>
      <w:r w:rsidR="00C6585B">
        <w:rPr>
          <w:lang w:val="fr-FR"/>
        </w:rPr>
        <w:t>’</w:t>
      </w:r>
      <w:r w:rsidRPr="007A7687">
        <w:rPr>
          <w:lang w:val="fr-FR"/>
        </w:rPr>
        <w:t>engagement.</w:t>
      </w:r>
    </w:p>
    <w:p w14:paraId="05F403EA" w14:textId="5E8FFDF1" w:rsidR="007A7687" w:rsidRPr="007A7687" w:rsidRDefault="007A7687" w:rsidP="007A7687">
      <w:pPr>
        <w:pStyle w:val="SingleTxt"/>
        <w:numPr>
          <w:ilvl w:val="0"/>
          <w:numId w:val="39"/>
        </w:numPr>
        <w:spacing w:line="240" w:lineRule="exact"/>
        <w:rPr>
          <w:lang w:val="fr-FR"/>
        </w:rPr>
      </w:pPr>
      <w:r w:rsidRPr="007A7687">
        <w:rPr>
          <w:lang w:val="fr-FR"/>
        </w:rPr>
        <w:t>S</w:t>
      </w:r>
      <w:r w:rsidR="00C6585B">
        <w:rPr>
          <w:lang w:val="fr-FR"/>
        </w:rPr>
        <w:t>’</w:t>
      </w:r>
      <w:r w:rsidRPr="007A7687">
        <w:rPr>
          <w:lang w:val="fr-FR"/>
        </w:rPr>
        <w:t>il est décidé de ne pas renouveler un engagement de durée déterminée venu à expiration pendant la période d</w:t>
      </w:r>
      <w:r w:rsidR="00C6585B">
        <w:rPr>
          <w:lang w:val="fr-FR"/>
        </w:rPr>
        <w:t>’</w:t>
      </w:r>
      <w:r w:rsidRPr="007A7687">
        <w:rPr>
          <w:lang w:val="fr-FR"/>
        </w:rPr>
        <w:t>examen, cet engagement n</w:t>
      </w:r>
      <w:r w:rsidR="00C6585B">
        <w:rPr>
          <w:lang w:val="fr-FR"/>
        </w:rPr>
        <w:t>’</w:t>
      </w:r>
      <w:r w:rsidRPr="007A7687">
        <w:rPr>
          <w:lang w:val="fr-FR"/>
        </w:rPr>
        <w:t>est pas prorogé jusqu</w:t>
      </w:r>
      <w:r w:rsidR="00C6585B">
        <w:rPr>
          <w:lang w:val="fr-FR"/>
        </w:rPr>
        <w:t>’</w:t>
      </w:r>
      <w:r w:rsidRPr="007A7687">
        <w:rPr>
          <w:lang w:val="fr-FR"/>
        </w:rPr>
        <w:t>à la fin de la période d</w:t>
      </w:r>
      <w:r w:rsidR="00C6585B">
        <w:rPr>
          <w:lang w:val="fr-FR"/>
        </w:rPr>
        <w:t>’</w:t>
      </w:r>
      <w:r w:rsidRPr="007A7687">
        <w:rPr>
          <w:lang w:val="fr-FR"/>
        </w:rPr>
        <w:t>examen. Le fonctionnaire est alors exclu de l</w:t>
      </w:r>
      <w:r w:rsidR="00C6585B">
        <w:rPr>
          <w:lang w:val="fr-FR"/>
        </w:rPr>
        <w:t>’</w:t>
      </w:r>
      <w:r w:rsidRPr="007A7687">
        <w:rPr>
          <w:lang w:val="fr-FR"/>
        </w:rPr>
        <w:t>examen.</w:t>
      </w:r>
    </w:p>
    <w:p w14:paraId="7D46E9A4" w14:textId="5B277A67" w:rsidR="007A7687" w:rsidRPr="007A7687" w:rsidRDefault="007A7687" w:rsidP="007A7687">
      <w:pPr>
        <w:pStyle w:val="SingleTxt"/>
        <w:numPr>
          <w:ilvl w:val="0"/>
          <w:numId w:val="39"/>
        </w:numPr>
        <w:spacing w:line="240" w:lineRule="exact"/>
        <w:rPr>
          <w:lang w:val="fr-FR"/>
        </w:rPr>
      </w:pPr>
      <w:r w:rsidRPr="007A7687">
        <w:rPr>
          <w:lang w:val="fr-FR"/>
        </w:rPr>
        <w:t>Le fonctionnaire qui satisfait aux conditions au début de la période d</w:t>
      </w:r>
      <w:r w:rsidR="00C6585B">
        <w:rPr>
          <w:lang w:val="fr-FR"/>
        </w:rPr>
        <w:t>’</w:t>
      </w:r>
      <w:r w:rsidRPr="007A7687">
        <w:rPr>
          <w:lang w:val="fr-FR"/>
        </w:rPr>
        <w:t>examen puis est détaché auprès d</w:t>
      </w:r>
      <w:r w:rsidR="00C6585B">
        <w:rPr>
          <w:lang w:val="fr-FR"/>
        </w:rPr>
        <w:t>’</w:t>
      </w:r>
      <w:r w:rsidRPr="007A7687">
        <w:rPr>
          <w:lang w:val="fr-FR"/>
        </w:rPr>
        <w:t>un autre organisme des Nations Unies ou quitte l</w:t>
      </w:r>
      <w:r w:rsidR="00C6585B">
        <w:rPr>
          <w:lang w:val="fr-FR"/>
        </w:rPr>
        <w:t>’</w:t>
      </w:r>
      <w:r w:rsidRPr="007A7687">
        <w:rPr>
          <w:lang w:val="fr-FR"/>
        </w:rPr>
        <w:t>Organisation pendant cette période est également exclu de l</w:t>
      </w:r>
      <w:r w:rsidR="00C6585B">
        <w:rPr>
          <w:lang w:val="fr-FR"/>
        </w:rPr>
        <w:t>’</w:t>
      </w:r>
      <w:r w:rsidRPr="007A7687">
        <w:rPr>
          <w:lang w:val="fr-FR"/>
        </w:rPr>
        <w:t>examen.</w:t>
      </w:r>
    </w:p>
    <w:p w14:paraId="247E3D47" w14:textId="635E0EFE" w:rsidR="007A7687" w:rsidRPr="007A7687" w:rsidRDefault="007A7687" w:rsidP="0005390A">
      <w:pPr>
        <w:pStyle w:val="SingleTxt"/>
        <w:numPr>
          <w:ilvl w:val="0"/>
          <w:numId w:val="39"/>
        </w:numPr>
        <w:spacing w:line="240" w:lineRule="exact"/>
        <w:rPr>
          <w:lang w:val="fr-FR"/>
        </w:rPr>
      </w:pPr>
      <w:r w:rsidRPr="007A7687">
        <w:rPr>
          <w:lang w:val="fr-FR"/>
        </w:rPr>
        <w:t>Une fois que le classement final a été établi et que le Bureau de la gestion des ressources humaines a confirmé que tous les candidats les mieux notés remplissaient toujours les conditions requises pour l</w:t>
      </w:r>
      <w:r w:rsidR="00C6585B">
        <w:rPr>
          <w:lang w:val="fr-FR"/>
        </w:rPr>
        <w:t>’</w:t>
      </w:r>
      <w:r w:rsidRPr="007A7687">
        <w:rPr>
          <w:lang w:val="fr-FR"/>
        </w:rPr>
        <w:t>octroi d</w:t>
      </w:r>
      <w:r w:rsidR="00C6585B">
        <w:rPr>
          <w:lang w:val="fr-FR"/>
        </w:rPr>
        <w:t>’</w:t>
      </w:r>
      <w:r w:rsidRPr="007A7687">
        <w:rPr>
          <w:lang w:val="fr-FR"/>
        </w:rPr>
        <w:t xml:space="preserve">un engagement continu, visées aux </w:t>
      </w:r>
      <w:r w:rsidR="0005390A">
        <w:rPr>
          <w:lang w:val="fr-FR"/>
        </w:rPr>
        <w:t>sections </w:t>
      </w:r>
      <w:r w:rsidRPr="007A7687">
        <w:rPr>
          <w:lang w:val="fr-FR"/>
        </w:rPr>
        <w:t xml:space="preserve">5.4 et 5.6 de la circulaire </w:t>
      </w:r>
      <w:hyperlink r:id="rId25" w:history="1">
        <w:r w:rsidRPr="007D6C92">
          <w:rPr>
            <w:rStyle w:val="Hyperlink"/>
            <w:lang w:val="fr-FR"/>
          </w:rPr>
          <w:t>ST/SGB/2011/9</w:t>
        </w:r>
      </w:hyperlink>
      <w:r w:rsidRPr="007A7687">
        <w:rPr>
          <w:lang w:val="fr-FR"/>
        </w:rPr>
        <w:t>, la Sous-Secrétaire générale à</w:t>
      </w:r>
      <w:r w:rsidR="007D6C92">
        <w:rPr>
          <w:lang w:val="fr-FR"/>
        </w:rPr>
        <w:t> </w:t>
      </w:r>
      <w:r w:rsidRPr="007A7687">
        <w:rPr>
          <w:lang w:val="fr-FR"/>
        </w:rPr>
        <w:t>la gestion des ressources humaines certifiera la liste des fonctionnaires de chaque enveloppe de postes qui pourront se voir octroyer un engagement continu.</w:t>
      </w:r>
    </w:p>
    <w:p w14:paraId="1A019AA5" w14:textId="2A721671" w:rsidR="007A7687" w:rsidRPr="007A7687" w:rsidRDefault="007A7687" w:rsidP="007A7687">
      <w:pPr>
        <w:pStyle w:val="SingleTxt"/>
        <w:numPr>
          <w:ilvl w:val="0"/>
          <w:numId w:val="39"/>
        </w:numPr>
        <w:spacing w:line="240" w:lineRule="exact"/>
        <w:rPr>
          <w:lang w:val="fr-FR"/>
        </w:rPr>
      </w:pPr>
      <w:r w:rsidRPr="007A7687">
        <w:rPr>
          <w:lang w:val="fr-FR"/>
        </w:rPr>
        <w:t>L</w:t>
      </w:r>
      <w:r w:rsidR="00C6585B">
        <w:rPr>
          <w:lang w:val="fr-FR"/>
        </w:rPr>
        <w:t>’</w:t>
      </w:r>
      <w:r w:rsidRPr="007A7687">
        <w:rPr>
          <w:lang w:val="fr-FR"/>
        </w:rPr>
        <w:t>engagement continu prend effet à la date à laquelle la Sous-Secrétaire générale à la gestion des ressources humaines confirme ainsi quels fonctionnaires se verront octroyer cet engagement.</w:t>
      </w:r>
    </w:p>
    <w:p w14:paraId="4A967B37" w14:textId="77777777" w:rsidR="007A7687" w:rsidRPr="007A7687" w:rsidRDefault="007A7687" w:rsidP="007A7687">
      <w:pPr>
        <w:pStyle w:val="SingleTxt"/>
        <w:spacing w:after="0" w:line="120" w:lineRule="exact"/>
        <w:rPr>
          <w:sz w:val="10"/>
          <w:lang w:val="fr-FR"/>
        </w:rPr>
      </w:pPr>
    </w:p>
    <w:p w14:paraId="0A01CD91" w14:textId="77777777" w:rsidR="007A7687" w:rsidRPr="007A7687" w:rsidRDefault="007A7687" w:rsidP="007A76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7A7687">
        <w:rPr>
          <w:lang w:val="fr-FR"/>
        </w:rPr>
        <w:t>Résultats et incidence sur les examens futurs</w:t>
      </w:r>
    </w:p>
    <w:p w14:paraId="0237EC53" w14:textId="77777777" w:rsidR="007A7687" w:rsidRPr="007A7687" w:rsidRDefault="007A7687" w:rsidP="007A7687">
      <w:pPr>
        <w:pStyle w:val="SingleTxt"/>
        <w:spacing w:after="0" w:line="120" w:lineRule="exact"/>
        <w:rPr>
          <w:sz w:val="10"/>
          <w:lang w:val="fr-FR"/>
        </w:rPr>
      </w:pPr>
    </w:p>
    <w:p w14:paraId="3671EBEB" w14:textId="5806500F" w:rsidR="007A7687" w:rsidRPr="007A7687" w:rsidRDefault="007A7687" w:rsidP="007A7687">
      <w:pPr>
        <w:pStyle w:val="SingleTxt"/>
        <w:numPr>
          <w:ilvl w:val="0"/>
          <w:numId w:val="39"/>
        </w:numPr>
        <w:spacing w:line="240" w:lineRule="exact"/>
        <w:rPr>
          <w:lang w:val="fr-FR"/>
        </w:rPr>
      </w:pPr>
      <w:r w:rsidRPr="007A7687">
        <w:rPr>
          <w:lang w:val="fr-FR"/>
        </w:rPr>
        <w:t>Tous les fonctionnaires qui remplissaient les conditions pour prétendre à une conversion de leur engagement en un engagement continu seront informés de l</w:t>
      </w:r>
      <w:r w:rsidR="00C6585B">
        <w:rPr>
          <w:lang w:val="fr-FR"/>
        </w:rPr>
        <w:t>’</w:t>
      </w:r>
      <w:r w:rsidRPr="007A7687">
        <w:rPr>
          <w:lang w:val="fr-FR"/>
        </w:rPr>
        <w:t>issue de l</w:t>
      </w:r>
      <w:r w:rsidR="00C6585B">
        <w:rPr>
          <w:lang w:val="fr-FR"/>
        </w:rPr>
        <w:t>’</w:t>
      </w:r>
      <w:r w:rsidRPr="007A7687">
        <w:rPr>
          <w:lang w:val="fr-FR"/>
        </w:rPr>
        <w:t>examen par le Bureau de la gestion des ressources humaines.</w:t>
      </w:r>
    </w:p>
    <w:p w14:paraId="4B745FF4" w14:textId="01741153" w:rsidR="007A7687" w:rsidRPr="007A7687" w:rsidRDefault="007A7687" w:rsidP="007A7687">
      <w:pPr>
        <w:pStyle w:val="SingleTxt"/>
        <w:numPr>
          <w:ilvl w:val="0"/>
          <w:numId w:val="40"/>
        </w:numPr>
        <w:spacing w:line="240" w:lineRule="exact"/>
        <w:rPr>
          <w:lang w:val="fr-FR"/>
        </w:rPr>
      </w:pPr>
      <w:r w:rsidRPr="007A7687">
        <w:rPr>
          <w:lang w:val="fr-FR"/>
        </w:rPr>
        <w:t>Le fonctionnaire qui satisfaisait aux conditions visées à la section</w:t>
      </w:r>
      <w:r>
        <w:rPr>
          <w:lang w:val="fr-FR"/>
        </w:rPr>
        <w:t> </w:t>
      </w:r>
      <w:r w:rsidRPr="007A7687">
        <w:rPr>
          <w:lang w:val="fr-FR"/>
        </w:rPr>
        <w:t xml:space="preserve">2 de la circulaire </w:t>
      </w:r>
      <w:hyperlink r:id="rId26" w:history="1">
        <w:r w:rsidRPr="007D6C92">
          <w:rPr>
            <w:rStyle w:val="Hyperlink"/>
            <w:lang w:val="fr-FR"/>
          </w:rPr>
          <w:t>ST/AI/2012/3</w:t>
        </w:r>
      </w:hyperlink>
      <w:r w:rsidRPr="007A7687">
        <w:rPr>
          <w:lang w:val="fr-FR"/>
        </w:rPr>
        <w:t xml:space="preserve"> mais n</w:t>
      </w:r>
      <w:r w:rsidR="00C6585B">
        <w:rPr>
          <w:lang w:val="fr-FR"/>
        </w:rPr>
        <w:t>’</w:t>
      </w:r>
      <w:r w:rsidRPr="007A7687">
        <w:rPr>
          <w:lang w:val="fr-FR"/>
        </w:rPr>
        <w:t>a pas obtenu d</w:t>
      </w:r>
      <w:r w:rsidR="00C6585B">
        <w:rPr>
          <w:lang w:val="fr-FR"/>
        </w:rPr>
        <w:t>’</w:t>
      </w:r>
      <w:r w:rsidRPr="007A7687">
        <w:rPr>
          <w:lang w:val="fr-FR"/>
        </w:rPr>
        <w:t>engagement continu parce que le nombre de postes de l</w:t>
      </w:r>
      <w:r w:rsidR="00C6585B">
        <w:rPr>
          <w:lang w:val="fr-FR"/>
        </w:rPr>
        <w:t>’</w:t>
      </w:r>
      <w:r w:rsidRPr="007A7687">
        <w:rPr>
          <w:lang w:val="fr-FR"/>
        </w:rPr>
        <w:t>enveloppe de sa catégorie n</w:t>
      </w:r>
      <w:r w:rsidR="00C6585B">
        <w:rPr>
          <w:lang w:val="fr-FR"/>
        </w:rPr>
        <w:t>’</w:t>
      </w:r>
      <w:r w:rsidRPr="007A7687">
        <w:rPr>
          <w:lang w:val="fr-FR"/>
        </w:rPr>
        <w:t>était pas suffisant devra y</w:t>
      </w:r>
      <w:r>
        <w:rPr>
          <w:lang w:val="fr-FR"/>
        </w:rPr>
        <w:t> </w:t>
      </w:r>
      <w:r w:rsidRPr="007A7687">
        <w:rPr>
          <w:lang w:val="fr-FR"/>
        </w:rPr>
        <w:t>satisfaire à nouveau au moment d</w:t>
      </w:r>
      <w:r w:rsidR="00C6585B">
        <w:rPr>
          <w:lang w:val="fr-FR"/>
        </w:rPr>
        <w:t>’</w:t>
      </w:r>
      <w:r w:rsidRPr="007A7687">
        <w:rPr>
          <w:lang w:val="fr-FR"/>
        </w:rPr>
        <w:t>un examen ultérieur pour que sa candidature soit prise en compte. En pareil cas, le département tiendra compte des informations actualisées concernant ses périodes de service pour déterminer s</w:t>
      </w:r>
      <w:r w:rsidR="00C6585B">
        <w:rPr>
          <w:lang w:val="fr-FR"/>
        </w:rPr>
        <w:t>’</w:t>
      </w:r>
      <w:r w:rsidRPr="007A7687">
        <w:rPr>
          <w:lang w:val="fr-FR"/>
        </w:rPr>
        <w:t>il satisfait aux conditions et calculer le nombre de points à lui attribuer.</w:t>
      </w:r>
    </w:p>
    <w:p w14:paraId="4A91EC5B" w14:textId="77777777" w:rsidR="007A7687" w:rsidRPr="007A7687" w:rsidRDefault="007A7687" w:rsidP="007A7687">
      <w:pPr>
        <w:pStyle w:val="SingleTxt"/>
        <w:rPr>
          <w:lang w:val="fr-FR"/>
        </w:rPr>
      </w:pPr>
      <w:r w:rsidRPr="007A7687">
        <w:rPr>
          <w:b/>
          <w:lang w:val="fr-FR"/>
        </w:rPr>
        <w:br w:type="page"/>
      </w:r>
    </w:p>
    <w:p w14:paraId="5B253B4B" w14:textId="77777777" w:rsidR="007A7687" w:rsidRDefault="007A7687" w:rsidP="007A768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7687">
        <w:rPr>
          <w:lang w:val="fr-FR"/>
        </w:rPr>
        <w:t>Annexe</w:t>
      </w:r>
    </w:p>
    <w:p w14:paraId="3E609D17" w14:textId="77777777" w:rsidR="007A7687" w:rsidRPr="007A7687" w:rsidRDefault="007A7687" w:rsidP="007A7687">
      <w:pPr>
        <w:pStyle w:val="SingleTxt"/>
        <w:spacing w:after="0" w:line="120" w:lineRule="exact"/>
        <w:rPr>
          <w:sz w:val="10"/>
          <w:lang w:val="fr-FR"/>
        </w:rPr>
      </w:pPr>
    </w:p>
    <w:p w14:paraId="1B7743F7" w14:textId="77777777" w:rsidR="007A7687" w:rsidRPr="007A7687" w:rsidRDefault="007A7687" w:rsidP="007A768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fr-FR"/>
        </w:rPr>
        <w:tab/>
      </w:r>
      <w:r>
        <w:rPr>
          <w:lang w:val="fr-FR"/>
        </w:rPr>
        <w:tab/>
      </w:r>
      <w:r w:rsidRPr="007A7687">
        <w:rPr>
          <w:lang w:val="fr-FR"/>
        </w:rPr>
        <w:t xml:space="preserve">Attribution des points </w:t>
      </w:r>
    </w:p>
    <w:p w14:paraId="49770E95" w14:textId="77777777" w:rsidR="007A7687" w:rsidRPr="007A7687" w:rsidRDefault="007A7687" w:rsidP="007A7687">
      <w:pPr>
        <w:pStyle w:val="SingleTxt"/>
        <w:spacing w:after="0" w:line="120" w:lineRule="exact"/>
        <w:rPr>
          <w:sz w:val="10"/>
          <w:lang w:val="en-GB"/>
        </w:rPr>
      </w:pPr>
    </w:p>
    <w:p w14:paraId="77773847" w14:textId="77777777" w:rsidR="007A7687" w:rsidRPr="007A7687" w:rsidRDefault="007A7687" w:rsidP="007A7687">
      <w:pPr>
        <w:pStyle w:val="SingleTxt"/>
        <w:spacing w:after="0" w:line="120" w:lineRule="exact"/>
        <w:rPr>
          <w:sz w:val="10"/>
          <w:lang w:val="en-GB"/>
        </w:rPr>
      </w:pPr>
    </w:p>
    <w:tbl>
      <w:tblPr>
        <w:tblW w:w="8583" w:type="dxa"/>
        <w:tblInd w:w="1267" w:type="dxa"/>
        <w:tblLayout w:type="fixed"/>
        <w:tblCellMar>
          <w:left w:w="0" w:type="dxa"/>
          <w:right w:w="0" w:type="dxa"/>
        </w:tblCellMar>
        <w:tblLook w:val="01E0" w:firstRow="1" w:lastRow="1" w:firstColumn="1" w:lastColumn="1" w:noHBand="0" w:noVBand="0"/>
      </w:tblPr>
      <w:tblGrid>
        <w:gridCol w:w="5393"/>
        <w:gridCol w:w="3190"/>
      </w:tblGrid>
      <w:tr w:rsidR="007A7687" w:rsidRPr="007A7687" w14:paraId="7B882F8D" w14:textId="77777777" w:rsidTr="003A3559">
        <w:trPr>
          <w:tblHeader/>
        </w:trPr>
        <w:tc>
          <w:tcPr>
            <w:tcW w:w="5393" w:type="dxa"/>
            <w:tcBorders>
              <w:top w:val="single" w:sz="4" w:space="0" w:color="auto"/>
              <w:bottom w:val="single" w:sz="12" w:space="0" w:color="auto"/>
            </w:tcBorders>
            <w:shd w:val="clear" w:color="auto" w:fill="auto"/>
            <w:vAlign w:val="bottom"/>
          </w:tcPr>
          <w:p w14:paraId="33B6E6F1" w14:textId="77777777" w:rsidR="007A7687" w:rsidRPr="007A7687" w:rsidRDefault="007A7687" w:rsidP="007D6C92">
            <w:pPr>
              <w:pStyle w:val="SingleTxt"/>
              <w:spacing w:before="80" w:after="80" w:line="160" w:lineRule="exact"/>
              <w:ind w:left="0" w:right="214"/>
              <w:rPr>
                <w:i/>
                <w:iCs/>
                <w:sz w:val="14"/>
                <w:szCs w:val="14"/>
                <w:lang w:val="en-GB"/>
              </w:rPr>
            </w:pPr>
            <w:r w:rsidRPr="007A7687">
              <w:rPr>
                <w:i/>
                <w:iCs/>
                <w:sz w:val="14"/>
                <w:szCs w:val="14"/>
                <w:lang w:val="fr-FR"/>
              </w:rPr>
              <w:t>Critères</w:t>
            </w:r>
          </w:p>
        </w:tc>
        <w:tc>
          <w:tcPr>
            <w:tcW w:w="3190" w:type="dxa"/>
            <w:tcBorders>
              <w:top w:val="single" w:sz="4" w:space="0" w:color="auto"/>
              <w:bottom w:val="single" w:sz="12" w:space="0" w:color="auto"/>
            </w:tcBorders>
            <w:shd w:val="clear" w:color="auto" w:fill="auto"/>
            <w:vAlign w:val="bottom"/>
          </w:tcPr>
          <w:p w14:paraId="0AC67BCD" w14:textId="77777777" w:rsidR="007A7687" w:rsidRPr="007A7687" w:rsidRDefault="007A7687" w:rsidP="007A7687">
            <w:pPr>
              <w:pStyle w:val="SingleTxt"/>
              <w:spacing w:before="80" w:after="80" w:line="160" w:lineRule="exact"/>
              <w:ind w:left="0" w:right="43"/>
              <w:rPr>
                <w:i/>
                <w:iCs/>
                <w:sz w:val="14"/>
                <w:szCs w:val="14"/>
                <w:lang w:val="en-GB"/>
              </w:rPr>
            </w:pPr>
            <w:r w:rsidRPr="007A7687">
              <w:rPr>
                <w:i/>
                <w:iCs/>
                <w:sz w:val="14"/>
                <w:szCs w:val="14"/>
                <w:lang w:val="fr-FR"/>
              </w:rPr>
              <w:t>Points</w:t>
            </w:r>
          </w:p>
        </w:tc>
      </w:tr>
      <w:tr w:rsidR="007A7687" w:rsidRPr="007A7687" w14:paraId="3A29A1FA" w14:textId="77777777" w:rsidTr="003A3559">
        <w:trPr>
          <w:trHeight w:hRule="exact" w:val="115"/>
          <w:tblHeader/>
        </w:trPr>
        <w:tc>
          <w:tcPr>
            <w:tcW w:w="5393" w:type="dxa"/>
            <w:tcBorders>
              <w:top w:val="single" w:sz="12" w:space="0" w:color="auto"/>
            </w:tcBorders>
            <w:shd w:val="clear" w:color="auto" w:fill="auto"/>
            <w:vAlign w:val="bottom"/>
          </w:tcPr>
          <w:p w14:paraId="32952A63" w14:textId="77777777" w:rsidR="007A7687" w:rsidRPr="007A7687" w:rsidRDefault="007A7687" w:rsidP="007D6C92">
            <w:pPr>
              <w:pStyle w:val="SingleTxt"/>
              <w:ind w:left="0" w:right="214"/>
              <w:rPr>
                <w:lang w:val="en-GB"/>
              </w:rPr>
            </w:pPr>
          </w:p>
        </w:tc>
        <w:tc>
          <w:tcPr>
            <w:tcW w:w="3190" w:type="dxa"/>
            <w:tcBorders>
              <w:top w:val="single" w:sz="12" w:space="0" w:color="auto"/>
            </w:tcBorders>
            <w:shd w:val="clear" w:color="auto" w:fill="auto"/>
            <w:vAlign w:val="bottom"/>
          </w:tcPr>
          <w:p w14:paraId="1F87DCAD" w14:textId="77777777" w:rsidR="007A7687" w:rsidRPr="007A7687" w:rsidRDefault="007A7687" w:rsidP="007A7687">
            <w:pPr>
              <w:pStyle w:val="SingleTxt"/>
              <w:ind w:left="0" w:right="0"/>
              <w:rPr>
                <w:lang w:val="en-GB"/>
              </w:rPr>
            </w:pPr>
          </w:p>
        </w:tc>
      </w:tr>
      <w:tr w:rsidR="007A7687" w:rsidRPr="003A3559" w14:paraId="342D5BD2" w14:textId="77777777" w:rsidTr="003A3559">
        <w:tc>
          <w:tcPr>
            <w:tcW w:w="5393" w:type="dxa"/>
            <w:shd w:val="clear" w:color="auto" w:fill="auto"/>
          </w:tcPr>
          <w:p w14:paraId="6A37D872" w14:textId="77777777" w:rsidR="007A7687" w:rsidRPr="003A3559" w:rsidRDefault="007A7687" w:rsidP="003A35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470"/>
                <w:tab w:val="left" w:pos="740"/>
                <w:tab w:val="left" w:pos="1152"/>
              </w:tabs>
              <w:spacing w:before="40" w:after="80" w:line="240" w:lineRule="exact"/>
              <w:ind w:left="288" w:right="214" w:hanging="288"/>
              <w:jc w:val="left"/>
              <w:rPr>
                <w:szCs w:val="20"/>
                <w:lang w:val="fr-FR"/>
              </w:rPr>
            </w:pPr>
            <w:r w:rsidRPr="003A3559">
              <w:rPr>
                <w:szCs w:val="20"/>
                <w:lang w:val="fr-FR"/>
              </w:rPr>
              <w:t>1.</w:t>
            </w:r>
            <w:r w:rsidRPr="003A3559">
              <w:rPr>
                <w:szCs w:val="20"/>
                <w:lang w:val="fr-FR"/>
              </w:rPr>
              <w:tab/>
              <w:t>Appréciations portées dans les quatre derniers rapports de notation</w:t>
            </w:r>
          </w:p>
        </w:tc>
        <w:tc>
          <w:tcPr>
            <w:tcW w:w="3190" w:type="dxa"/>
            <w:shd w:val="clear" w:color="auto" w:fill="auto"/>
          </w:tcPr>
          <w:p w14:paraId="7B778B71" w14:textId="77777777" w:rsidR="007A7687" w:rsidRPr="003A3559" w:rsidRDefault="007A7687" w:rsidP="003301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s>
              <w:spacing w:before="40" w:after="80" w:line="240" w:lineRule="exact"/>
              <w:ind w:left="0" w:right="43" w:hanging="1267"/>
              <w:rPr>
                <w:szCs w:val="20"/>
                <w:lang w:val="fr-FR"/>
              </w:rPr>
            </w:pPr>
          </w:p>
        </w:tc>
      </w:tr>
      <w:tr w:rsidR="007A7687" w:rsidRPr="003A3559" w14:paraId="07B782E2" w14:textId="77777777" w:rsidTr="003A3559">
        <w:tc>
          <w:tcPr>
            <w:tcW w:w="5393" w:type="dxa"/>
            <w:shd w:val="clear" w:color="auto" w:fill="auto"/>
          </w:tcPr>
          <w:p w14:paraId="4B28652D" w14:textId="77777777" w:rsidR="007A7687" w:rsidRPr="003A3559" w:rsidRDefault="007A7687" w:rsidP="003A35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470"/>
                <w:tab w:val="left" w:pos="740"/>
                <w:tab w:val="left" w:pos="1152"/>
              </w:tabs>
              <w:spacing w:before="40" w:after="80" w:line="240" w:lineRule="exact"/>
              <w:ind w:left="470" w:right="214" w:hanging="470"/>
              <w:jc w:val="left"/>
              <w:rPr>
                <w:szCs w:val="20"/>
                <w:lang w:val="fr-FR"/>
              </w:rPr>
            </w:pPr>
            <w:r w:rsidRPr="003A3559">
              <w:rPr>
                <w:szCs w:val="20"/>
                <w:lang w:val="fr-FR"/>
              </w:rPr>
              <w:tab/>
              <w:t>•</w:t>
            </w:r>
            <w:r w:rsidRPr="003A3559">
              <w:rPr>
                <w:szCs w:val="20"/>
                <w:lang w:val="fr-FR"/>
              </w:rPr>
              <w:tab/>
              <w:t>Performance dépassant les attentes (ou équivalent)</w:t>
            </w:r>
          </w:p>
        </w:tc>
        <w:tc>
          <w:tcPr>
            <w:tcW w:w="3190" w:type="dxa"/>
            <w:shd w:val="clear" w:color="auto" w:fill="auto"/>
          </w:tcPr>
          <w:p w14:paraId="67BE39AD" w14:textId="348E267D" w:rsidR="007A7687" w:rsidRPr="003A3559" w:rsidRDefault="007A7687" w:rsidP="003301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70"/>
                <w:tab w:val="left" w:pos="576"/>
                <w:tab w:val="left" w:pos="864"/>
              </w:tabs>
              <w:spacing w:before="40" w:after="80" w:line="240" w:lineRule="exact"/>
              <w:ind w:left="198" w:right="43" w:hanging="198"/>
              <w:jc w:val="left"/>
              <w:rPr>
                <w:szCs w:val="20"/>
                <w:lang w:val="fr-FR"/>
              </w:rPr>
            </w:pPr>
            <w:r w:rsidRPr="003A3559">
              <w:rPr>
                <w:szCs w:val="20"/>
                <w:lang w:val="fr-FR"/>
              </w:rPr>
              <w:t>•</w:t>
            </w:r>
            <w:r w:rsidRPr="003A3559">
              <w:rPr>
                <w:szCs w:val="20"/>
                <w:lang w:val="fr-FR"/>
              </w:rPr>
              <w:tab/>
              <w:t>7</w:t>
            </w:r>
            <w:r w:rsidR="007D6C92" w:rsidRPr="003A3559">
              <w:rPr>
                <w:szCs w:val="20"/>
                <w:lang w:val="fr-FR"/>
              </w:rPr>
              <w:t> </w:t>
            </w:r>
            <w:r w:rsidRPr="003A3559">
              <w:rPr>
                <w:szCs w:val="20"/>
                <w:lang w:val="fr-FR"/>
              </w:rPr>
              <w:t>points par rapport (portant sur une période d</w:t>
            </w:r>
            <w:r w:rsidR="00C6585B" w:rsidRPr="003A3559">
              <w:rPr>
                <w:szCs w:val="20"/>
                <w:lang w:val="fr-FR"/>
              </w:rPr>
              <w:t>’</w:t>
            </w:r>
            <w:r w:rsidRPr="003A3559">
              <w:rPr>
                <w:szCs w:val="20"/>
                <w:lang w:val="fr-FR"/>
              </w:rPr>
              <w:t>au moins un an)</w:t>
            </w:r>
          </w:p>
        </w:tc>
      </w:tr>
      <w:tr w:rsidR="007A7687" w:rsidRPr="003A3559" w14:paraId="44123981" w14:textId="77777777" w:rsidTr="003A3559">
        <w:tc>
          <w:tcPr>
            <w:tcW w:w="5393" w:type="dxa"/>
            <w:shd w:val="clear" w:color="auto" w:fill="auto"/>
          </w:tcPr>
          <w:p w14:paraId="2624D432" w14:textId="77777777" w:rsidR="007A7687" w:rsidRPr="003A3559" w:rsidRDefault="007A7687" w:rsidP="003A35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470"/>
                <w:tab w:val="left" w:pos="740"/>
                <w:tab w:val="left" w:pos="1152"/>
              </w:tabs>
              <w:spacing w:before="40" w:after="80" w:line="240" w:lineRule="exact"/>
              <w:ind w:left="470" w:right="214" w:hanging="470"/>
              <w:jc w:val="left"/>
              <w:rPr>
                <w:szCs w:val="20"/>
                <w:lang w:val="fr-FR"/>
              </w:rPr>
            </w:pPr>
            <w:r w:rsidRPr="003A3559">
              <w:rPr>
                <w:szCs w:val="20"/>
                <w:lang w:val="fr-FR"/>
              </w:rPr>
              <w:tab/>
              <w:t>•</w:t>
            </w:r>
            <w:r w:rsidRPr="003A3559">
              <w:rPr>
                <w:szCs w:val="20"/>
                <w:lang w:val="fr-FR"/>
              </w:rPr>
              <w:tab/>
              <w:t>Performance dépassant fréquemment les attentes (ou équivalent)</w:t>
            </w:r>
          </w:p>
        </w:tc>
        <w:tc>
          <w:tcPr>
            <w:tcW w:w="3190" w:type="dxa"/>
            <w:shd w:val="clear" w:color="auto" w:fill="auto"/>
          </w:tcPr>
          <w:p w14:paraId="6DED4F90" w14:textId="314F6E5A" w:rsidR="007A7687" w:rsidRPr="003A3559" w:rsidRDefault="007A7687" w:rsidP="003301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70"/>
                <w:tab w:val="left" w:pos="576"/>
                <w:tab w:val="left" w:pos="864"/>
              </w:tabs>
              <w:spacing w:before="40" w:after="80" w:line="240" w:lineRule="exact"/>
              <w:ind w:left="198" w:right="43" w:hanging="198"/>
              <w:jc w:val="left"/>
              <w:rPr>
                <w:szCs w:val="20"/>
                <w:lang w:val="fr-FR"/>
              </w:rPr>
            </w:pPr>
            <w:r w:rsidRPr="003A3559">
              <w:rPr>
                <w:szCs w:val="20"/>
                <w:lang w:val="fr-FR"/>
              </w:rPr>
              <w:t>•</w:t>
            </w:r>
            <w:r w:rsidRPr="003A3559">
              <w:rPr>
                <w:szCs w:val="20"/>
                <w:lang w:val="fr-FR"/>
              </w:rPr>
              <w:tab/>
              <w:t>5</w:t>
            </w:r>
            <w:r w:rsidR="007D6C92" w:rsidRPr="003A3559">
              <w:rPr>
                <w:szCs w:val="20"/>
                <w:lang w:val="fr-FR"/>
              </w:rPr>
              <w:t> </w:t>
            </w:r>
            <w:r w:rsidRPr="003A3559">
              <w:rPr>
                <w:szCs w:val="20"/>
                <w:lang w:val="fr-FR"/>
              </w:rPr>
              <w:t>points par rapport (portant sur une période d</w:t>
            </w:r>
            <w:r w:rsidR="00C6585B" w:rsidRPr="003A3559">
              <w:rPr>
                <w:szCs w:val="20"/>
                <w:lang w:val="fr-FR"/>
              </w:rPr>
              <w:t>’</w:t>
            </w:r>
            <w:r w:rsidRPr="003A3559">
              <w:rPr>
                <w:szCs w:val="20"/>
                <w:lang w:val="fr-FR"/>
              </w:rPr>
              <w:t>au moins un an)</w:t>
            </w:r>
          </w:p>
        </w:tc>
      </w:tr>
      <w:tr w:rsidR="007A7687" w:rsidRPr="003A3559" w14:paraId="2B752B43" w14:textId="77777777" w:rsidTr="003A3559">
        <w:tc>
          <w:tcPr>
            <w:tcW w:w="5393" w:type="dxa"/>
            <w:shd w:val="clear" w:color="auto" w:fill="auto"/>
          </w:tcPr>
          <w:p w14:paraId="0A34DCD0" w14:textId="561D107A" w:rsidR="007A7687" w:rsidRPr="003A3559" w:rsidRDefault="007A7687" w:rsidP="003A35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470"/>
                <w:tab w:val="left" w:pos="740"/>
                <w:tab w:val="left" w:pos="1152"/>
              </w:tabs>
              <w:spacing w:before="40" w:after="80" w:line="240" w:lineRule="exact"/>
              <w:ind w:left="288" w:right="214" w:hanging="288"/>
              <w:jc w:val="left"/>
              <w:rPr>
                <w:szCs w:val="20"/>
                <w:lang w:val="fr-FR"/>
              </w:rPr>
            </w:pPr>
            <w:r w:rsidRPr="003A3559">
              <w:rPr>
                <w:szCs w:val="20"/>
                <w:lang w:val="fr-FR"/>
              </w:rPr>
              <w:t>2.</w:t>
            </w:r>
            <w:r w:rsidRPr="003A3559">
              <w:rPr>
                <w:szCs w:val="20"/>
                <w:lang w:val="fr-FR"/>
              </w:rPr>
              <w:tab/>
              <w:t>Période de service continu d</w:t>
            </w:r>
            <w:r w:rsidR="00C6585B" w:rsidRPr="003A3559">
              <w:rPr>
                <w:szCs w:val="20"/>
                <w:lang w:val="fr-FR"/>
              </w:rPr>
              <w:t>’</w:t>
            </w:r>
            <w:r w:rsidRPr="003A3559">
              <w:rPr>
                <w:szCs w:val="20"/>
                <w:lang w:val="fr-FR"/>
              </w:rPr>
              <w:t>au moins un an dans un lieu d</w:t>
            </w:r>
            <w:r w:rsidR="00C6585B" w:rsidRPr="003A3559">
              <w:rPr>
                <w:szCs w:val="20"/>
                <w:lang w:val="fr-FR"/>
              </w:rPr>
              <w:t>’</w:t>
            </w:r>
            <w:r w:rsidRPr="003A3559">
              <w:rPr>
                <w:szCs w:val="20"/>
                <w:lang w:val="fr-FR"/>
              </w:rPr>
              <w:t>affectation classé comme difficile</w:t>
            </w:r>
            <w:r w:rsidR="00C6585B" w:rsidRPr="003A3559">
              <w:rPr>
                <w:szCs w:val="20"/>
                <w:lang w:val="fr-FR"/>
              </w:rPr>
              <w:t> :</w:t>
            </w:r>
          </w:p>
        </w:tc>
        <w:tc>
          <w:tcPr>
            <w:tcW w:w="3190" w:type="dxa"/>
            <w:shd w:val="clear" w:color="auto" w:fill="auto"/>
          </w:tcPr>
          <w:p w14:paraId="2907CDF6" w14:textId="77777777" w:rsidR="007A7687" w:rsidRPr="003A3559" w:rsidRDefault="007A7687" w:rsidP="003301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70"/>
                <w:tab w:val="left" w:pos="576"/>
                <w:tab w:val="left" w:pos="864"/>
              </w:tabs>
              <w:spacing w:before="40" w:after="80" w:line="240" w:lineRule="exact"/>
              <w:ind w:left="198" w:right="43" w:hanging="198"/>
              <w:rPr>
                <w:szCs w:val="20"/>
                <w:lang w:val="fr-FR"/>
              </w:rPr>
            </w:pPr>
          </w:p>
        </w:tc>
      </w:tr>
      <w:tr w:rsidR="007A7687" w:rsidRPr="003A3559" w14:paraId="1B22E741" w14:textId="77777777" w:rsidTr="003A3559">
        <w:tc>
          <w:tcPr>
            <w:tcW w:w="5393" w:type="dxa"/>
            <w:shd w:val="clear" w:color="auto" w:fill="auto"/>
          </w:tcPr>
          <w:p w14:paraId="49097B76" w14:textId="77777777" w:rsidR="007A7687" w:rsidRPr="003A3559" w:rsidRDefault="007A7687" w:rsidP="003A35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470"/>
                <w:tab w:val="left" w:pos="740"/>
                <w:tab w:val="left" w:pos="1152"/>
              </w:tabs>
              <w:spacing w:before="40" w:after="80" w:line="240" w:lineRule="exact"/>
              <w:ind w:left="0" w:right="214"/>
              <w:jc w:val="left"/>
              <w:rPr>
                <w:szCs w:val="20"/>
                <w:lang w:val="en-GB"/>
              </w:rPr>
            </w:pPr>
            <w:r w:rsidRPr="003A3559">
              <w:rPr>
                <w:szCs w:val="20"/>
                <w:lang w:val="fr-FR"/>
              </w:rPr>
              <w:tab/>
              <w:t>•</w:t>
            </w:r>
            <w:r w:rsidRPr="003A3559">
              <w:rPr>
                <w:szCs w:val="20"/>
                <w:lang w:val="fr-FR"/>
              </w:rPr>
              <w:tab/>
              <w:t>Catégories A et B</w:t>
            </w:r>
          </w:p>
        </w:tc>
        <w:tc>
          <w:tcPr>
            <w:tcW w:w="3190" w:type="dxa"/>
            <w:shd w:val="clear" w:color="auto" w:fill="auto"/>
          </w:tcPr>
          <w:p w14:paraId="0BD23AB5" w14:textId="340E03D8" w:rsidR="007A7687" w:rsidRPr="003A3559" w:rsidRDefault="007A7687" w:rsidP="003301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70"/>
                <w:tab w:val="left" w:pos="576"/>
                <w:tab w:val="left" w:pos="864"/>
              </w:tabs>
              <w:spacing w:before="40" w:after="80" w:line="240" w:lineRule="exact"/>
              <w:ind w:left="198" w:right="43" w:hanging="198"/>
              <w:jc w:val="left"/>
              <w:rPr>
                <w:szCs w:val="20"/>
                <w:lang w:val="en-GB"/>
              </w:rPr>
            </w:pPr>
            <w:r w:rsidRPr="003A3559">
              <w:rPr>
                <w:szCs w:val="20"/>
                <w:lang w:val="fr-FR"/>
              </w:rPr>
              <w:t>•</w:t>
            </w:r>
            <w:r w:rsidRPr="003A3559">
              <w:rPr>
                <w:szCs w:val="20"/>
                <w:lang w:val="fr-FR"/>
              </w:rPr>
              <w:tab/>
              <w:t>1 point par affectation</w:t>
            </w:r>
            <w:r w:rsidRPr="003A3559">
              <w:rPr>
                <w:i/>
                <w:iCs/>
                <w:szCs w:val="20"/>
                <w:vertAlign w:val="superscript"/>
                <w:lang w:val="fr-FR"/>
              </w:rPr>
              <w:t>a</w:t>
            </w:r>
          </w:p>
        </w:tc>
      </w:tr>
      <w:tr w:rsidR="007A7687" w:rsidRPr="003A3559" w14:paraId="2D9F433B" w14:textId="77777777" w:rsidTr="003A3559">
        <w:tc>
          <w:tcPr>
            <w:tcW w:w="5393" w:type="dxa"/>
            <w:shd w:val="clear" w:color="auto" w:fill="auto"/>
          </w:tcPr>
          <w:p w14:paraId="250E769E" w14:textId="77777777" w:rsidR="007A7687" w:rsidRPr="003A3559" w:rsidRDefault="007A7687" w:rsidP="003A35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470"/>
                <w:tab w:val="left" w:pos="740"/>
                <w:tab w:val="left" w:pos="1152"/>
              </w:tabs>
              <w:spacing w:before="40" w:after="80" w:line="240" w:lineRule="exact"/>
              <w:ind w:left="0" w:right="214"/>
              <w:jc w:val="left"/>
              <w:rPr>
                <w:szCs w:val="20"/>
                <w:lang w:val="en-GB"/>
              </w:rPr>
            </w:pPr>
            <w:r w:rsidRPr="003A3559">
              <w:rPr>
                <w:szCs w:val="20"/>
                <w:lang w:val="fr-FR"/>
              </w:rPr>
              <w:tab/>
              <w:t>•</w:t>
            </w:r>
            <w:r w:rsidRPr="003A3559">
              <w:rPr>
                <w:szCs w:val="20"/>
                <w:lang w:val="fr-FR"/>
              </w:rPr>
              <w:tab/>
              <w:t>Catégorie C</w:t>
            </w:r>
          </w:p>
        </w:tc>
        <w:tc>
          <w:tcPr>
            <w:tcW w:w="3190" w:type="dxa"/>
            <w:shd w:val="clear" w:color="auto" w:fill="auto"/>
          </w:tcPr>
          <w:p w14:paraId="36E9423F" w14:textId="18B6420C" w:rsidR="007A7687" w:rsidRPr="003A3559" w:rsidRDefault="007A7687" w:rsidP="003301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70"/>
                <w:tab w:val="left" w:pos="576"/>
                <w:tab w:val="left" w:pos="864"/>
              </w:tabs>
              <w:spacing w:before="40" w:after="80" w:line="240" w:lineRule="exact"/>
              <w:ind w:left="198" w:right="43" w:hanging="198"/>
              <w:jc w:val="left"/>
              <w:rPr>
                <w:szCs w:val="20"/>
                <w:lang w:val="en-GB"/>
              </w:rPr>
            </w:pPr>
            <w:r w:rsidRPr="003A3559">
              <w:rPr>
                <w:szCs w:val="20"/>
                <w:lang w:val="fr-FR"/>
              </w:rPr>
              <w:t>•</w:t>
            </w:r>
            <w:r w:rsidRPr="003A3559">
              <w:rPr>
                <w:szCs w:val="20"/>
                <w:lang w:val="fr-FR"/>
              </w:rPr>
              <w:tab/>
              <w:t>3 points par affectation</w:t>
            </w:r>
          </w:p>
        </w:tc>
      </w:tr>
      <w:tr w:rsidR="007A7687" w:rsidRPr="003A3559" w14:paraId="43529F2E" w14:textId="77777777" w:rsidTr="003A3559">
        <w:tc>
          <w:tcPr>
            <w:tcW w:w="5393" w:type="dxa"/>
            <w:shd w:val="clear" w:color="auto" w:fill="auto"/>
          </w:tcPr>
          <w:p w14:paraId="51E2E7D4" w14:textId="77777777" w:rsidR="007A7687" w:rsidRPr="003A3559" w:rsidRDefault="007A7687" w:rsidP="003A35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470"/>
                <w:tab w:val="left" w:pos="740"/>
                <w:tab w:val="left" w:pos="1152"/>
              </w:tabs>
              <w:spacing w:before="40" w:after="80" w:line="240" w:lineRule="exact"/>
              <w:ind w:left="0" w:right="214"/>
              <w:jc w:val="left"/>
              <w:rPr>
                <w:szCs w:val="20"/>
                <w:lang w:val="en-GB"/>
              </w:rPr>
            </w:pPr>
            <w:r w:rsidRPr="003A3559">
              <w:rPr>
                <w:szCs w:val="20"/>
                <w:lang w:val="fr-FR"/>
              </w:rPr>
              <w:tab/>
              <w:t>•</w:t>
            </w:r>
            <w:r w:rsidRPr="003A3559">
              <w:rPr>
                <w:szCs w:val="20"/>
                <w:lang w:val="fr-FR"/>
              </w:rPr>
              <w:tab/>
              <w:t>Catégorie D</w:t>
            </w:r>
          </w:p>
        </w:tc>
        <w:tc>
          <w:tcPr>
            <w:tcW w:w="3190" w:type="dxa"/>
            <w:shd w:val="clear" w:color="auto" w:fill="auto"/>
          </w:tcPr>
          <w:p w14:paraId="08E48F1A" w14:textId="23109244" w:rsidR="007A7687" w:rsidRPr="003A3559" w:rsidRDefault="007A7687" w:rsidP="003301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70"/>
                <w:tab w:val="left" w:pos="576"/>
                <w:tab w:val="left" w:pos="864"/>
              </w:tabs>
              <w:spacing w:before="40" w:after="80" w:line="240" w:lineRule="exact"/>
              <w:ind w:left="198" w:right="43" w:hanging="198"/>
              <w:jc w:val="left"/>
              <w:rPr>
                <w:szCs w:val="20"/>
                <w:lang w:val="en-GB"/>
              </w:rPr>
            </w:pPr>
            <w:r w:rsidRPr="003A3559">
              <w:rPr>
                <w:szCs w:val="20"/>
                <w:lang w:val="fr-FR"/>
              </w:rPr>
              <w:t>•</w:t>
            </w:r>
            <w:r w:rsidRPr="003A3559">
              <w:rPr>
                <w:szCs w:val="20"/>
                <w:lang w:val="fr-FR"/>
              </w:rPr>
              <w:tab/>
              <w:t>5 points par affectation</w:t>
            </w:r>
          </w:p>
        </w:tc>
      </w:tr>
      <w:tr w:rsidR="007A7687" w:rsidRPr="003A3559" w14:paraId="573ADB52" w14:textId="77777777" w:rsidTr="003A3559">
        <w:tc>
          <w:tcPr>
            <w:tcW w:w="5393" w:type="dxa"/>
            <w:shd w:val="clear" w:color="auto" w:fill="auto"/>
          </w:tcPr>
          <w:p w14:paraId="53B16D2B" w14:textId="77777777" w:rsidR="007A7687" w:rsidRPr="003A3559" w:rsidRDefault="007A7687" w:rsidP="003A35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470"/>
                <w:tab w:val="left" w:pos="740"/>
                <w:tab w:val="left" w:pos="1152"/>
              </w:tabs>
              <w:spacing w:before="40" w:after="80" w:line="240" w:lineRule="exact"/>
              <w:ind w:left="0" w:right="214"/>
              <w:jc w:val="left"/>
              <w:rPr>
                <w:szCs w:val="20"/>
                <w:lang w:val="en-GB"/>
              </w:rPr>
            </w:pPr>
            <w:r w:rsidRPr="003A3559">
              <w:rPr>
                <w:szCs w:val="20"/>
                <w:lang w:val="fr-FR"/>
              </w:rPr>
              <w:tab/>
              <w:t>•</w:t>
            </w:r>
            <w:r w:rsidRPr="003A3559">
              <w:rPr>
                <w:szCs w:val="20"/>
                <w:lang w:val="fr-FR"/>
              </w:rPr>
              <w:tab/>
              <w:t>Catégorie E</w:t>
            </w:r>
          </w:p>
        </w:tc>
        <w:tc>
          <w:tcPr>
            <w:tcW w:w="3190" w:type="dxa"/>
            <w:shd w:val="clear" w:color="auto" w:fill="auto"/>
          </w:tcPr>
          <w:p w14:paraId="58B5F312" w14:textId="4DC7EE41" w:rsidR="007A7687" w:rsidRPr="003A3559" w:rsidRDefault="007A7687" w:rsidP="003301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70"/>
                <w:tab w:val="left" w:pos="576"/>
                <w:tab w:val="left" w:pos="864"/>
              </w:tabs>
              <w:spacing w:before="40" w:after="80" w:line="240" w:lineRule="exact"/>
              <w:ind w:left="198" w:right="43" w:hanging="198"/>
              <w:jc w:val="left"/>
              <w:rPr>
                <w:szCs w:val="20"/>
                <w:lang w:val="en-GB"/>
              </w:rPr>
            </w:pPr>
            <w:r w:rsidRPr="003A3559">
              <w:rPr>
                <w:szCs w:val="20"/>
                <w:lang w:val="fr-FR"/>
              </w:rPr>
              <w:t>•</w:t>
            </w:r>
            <w:r w:rsidRPr="003A3559">
              <w:rPr>
                <w:szCs w:val="20"/>
                <w:lang w:val="fr-FR"/>
              </w:rPr>
              <w:tab/>
              <w:t>7 points par affectation</w:t>
            </w:r>
          </w:p>
        </w:tc>
      </w:tr>
      <w:tr w:rsidR="007A7687" w:rsidRPr="003A3559" w14:paraId="220359FD" w14:textId="77777777" w:rsidTr="003A3559">
        <w:tc>
          <w:tcPr>
            <w:tcW w:w="5393" w:type="dxa"/>
            <w:shd w:val="clear" w:color="auto" w:fill="auto"/>
          </w:tcPr>
          <w:p w14:paraId="07FCB435" w14:textId="0B3EEEE3" w:rsidR="007A7687" w:rsidRPr="003A3559" w:rsidRDefault="007A7687" w:rsidP="003A35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470"/>
                <w:tab w:val="left" w:pos="740"/>
                <w:tab w:val="left" w:pos="1152"/>
              </w:tabs>
              <w:spacing w:before="40" w:after="80" w:line="240" w:lineRule="exact"/>
              <w:ind w:left="288" w:right="214" w:hanging="288"/>
              <w:jc w:val="left"/>
              <w:rPr>
                <w:szCs w:val="20"/>
                <w:lang w:val="fr-FR"/>
              </w:rPr>
            </w:pPr>
            <w:r w:rsidRPr="003A3559">
              <w:rPr>
                <w:szCs w:val="20"/>
                <w:lang w:val="fr-FR"/>
              </w:rPr>
              <w:t>3.</w:t>
            </w:r>
            <w:r w:rsidRPr="003A3559">
              <w:rPr>
                <w:szCs w:val="20"/>
                <w:lang w:val="fr-FR"/>
              </w:rPr>
              <w:tab/>
              <w:t>Période de service continu d</w:t>
            </w:r>
            <w:r w:rsidR="00C6585B" w:rsidRPr="003A3559">
              <w:rPr>
                <w:szCs w:val="20"/>
                <w:lang w:val="fr-FR"/>
              </w:rPr>
              <w:t>’</w:t>
            </w:r>
            <w:r w:rsidRPr="003A3559">
              <w:rPr>
                <w:szCs w:val="20"/>
                <w:lang w:val="fr-FR"/>
              </w:rPr>
              <w:t>au moins un an dans un lieu d</w:t>
            </w:r>
            <w:r w:rsidR="00C6585B" w:rsidRPr="003A3559">
              <w:rPr>
                <w:szCs w:val="20"/>
                <w:lang w:val="fr-FR"/>
              </w:rPr>
              <w:t>’</w:t>
            </w:r>
            <w:r w:rsidRPr="003A3559">
              <w:rPr>
                <w:szCs w:val="20"/>
                <w:lang w:val="fr-FR"/>
              </w:rPr>
              <w:t>affectation « famille non autorisée »</w:t>
            </w:r>
          </w:p>
        </w:tc>
        <w:tc>
          <w:tcPr>
            <w:tcW w:w="3190" w:type="dxa"/>
            <w:shd w:val="clear" w:color="auto" w:fill="auto"/>
          </w:tcPr>
          <w:p w14:paraId="0499F973" w14:textId="77777777" w:rsidR="007A7687" w:rsidRPr="003A3559" w:rsidRDefault="007A7687" w:rsidP="003A35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470"/>
                <w:tab w:val="left" w:pos="740"/>
                <w:tab w:val="left" w:pos="1152"/>
              </w:tabs>
              <w:spacing w:before="40" w:after="80" w:line="240" w:lineRule="exact"/>
              <w:ind w:left="0" w:right="43"/>
              <w:jc w:val="left"/>
              <w:rPr>
                <w:szCs w:val="20"/>
                <w:lang w:val="en-GB"/>
              </w:rPr>
            </w:pPr>
            <w:r w:rsidRPr="003A3559">
              <w:rPr>
                <w:szCs w:val="20"/>
                <w:lang w:val="fr-FR"/>
              </w:rPr>
              <w:t>2 points par affectation</w:t>
            </w:r>
          </w:p>
        </w:tc>
      </w:tr>
      <w:tr w:rsidR="007A7687" w:rsidRPr="003A3559" w14:paraId="104D0D18" w14:textId="77777777" w:rsidTr="003A3559">
        <w:tc>
          <w:tcPr>
            <w:tcW w:w="5393" w:type="dxa"/>
            <w:shd w:val="clear" w:color="auto" w:fill="auto"/>
          </w:tcPr>
          <w:p w14:paraId="75A01500" w14:textId="77777777" w:rsidR="007A7687" w:rsidRPr="003A3559" w:rsidRDefault="007A7687" w:rsidP="003A35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470"/>
                <w:tab w:val="left" w:pos="740"/>
                <w:tab w:val="left" w:pos="1152"/>
              </w:tabs>
              <w:spacing w:before="40" w:after="80" w:line="240" w:lineRule="exact"/>
              <w:ind w:left="288" w:right="214" w:hanging="288"/>
              <w:jc w:val="left"/>
              <w:rPr>
                <w:szCs w:val="20"/>
                <w:lang w:val="fr-FR"/>
              </w:rPr>
            </w:pPr>
            <w:r w:rsidRPr="003A3559">
              <w:rPr>
                <w:szCs w:val="20"/>
                <w:lang w:val="fr-FR"/>
              </w:rPr>
              <w:t>4.</w:t>
            </w:r>
            <w:r w:rsidRPr="003A3559">
              <w:rPr>
                <w:szCs w:val="20"/>
                <w:lang w:val="fr-FR"/>
              </w:rPr>
              <w:tab/>
              <w:t>Mobilité géographique (au moins une année de service continu)</w:t>
            </w:r>
            <w:r w:rsidRPr="003A3559">
              <w:rPr>
                <w:i/>
                <w:iCs/>
                <w:szCs w:val="20"/>
                <w:vertAlign w:val="superscript"/>
                <w:lang w:val="fr-FR"/>
              </w:rPr>
              <w:t>b</w:t>
            </w:r>
          </w:p>
        </w:tc>
        <w:tc>
          <w:tcPr>
            <w:tcW w:w="3190" w:type="dxa"/>
            <w:shd w:val="clear" w:color="auto" w:fill="auto"/>
          </w:tcPr>
          <w:p w14:paraId="195295E4" w14:textId="77777777" w:rsidR="007A7687" w:rsidRPr="003A3559" w:rsidRDefault="007A7687" w:rsidP="003A35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470"/>
                <w:tab w:val="left" w:pos="740"/>
                <w:tab w:val="left" w:pos="1152"/>
              </w:tabs>
              <w:spacing w:before="40" w:after="80" w:line="240" w:lineRule="exact"/>
              <w:ind w:left="0" w:right="43"/>
              <w:jc w:val="left"/>
              <w:rPr>
                <w:szCs w:val="20"/>
                <w:lang w:val="en-GB"/>
              </w:rPr>
            </w:pPr>
            <w:r w:rsidRPr="003A3559">
              <w:rPr>
                <w:szCs w:val="20"/>
                <w:lang w:val="fr-FR"/>
              </w:rPr>
              <w:t>3 points par affectation</w:t>
            </w:r>
          </w:p>
        </w:tc>
      </w:tr>
      <w:tr w:rsidR="007A7687" w:rsidRPr="003A3559" w14:paraId="4346CD82" w14:textId="77777777" w:rsidTr="003A3559">
        <w:tc>
          <w:tcPr>
            <w:tcW w:w="5393" w:type="dxa"/>
            <w:shd w:val="clear" w:color="auto" w:fill="auto"/>
          </w:tcPr>
          <w:p w14:paraId="76FC0D35" w14:textId="77777777" w:rsidR="007A7687" w:rsidRPr="003A3559" w:rsidRDefault="007A7687" w:rsidP="003A35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470"/>
                <w:tab w:val="left" w:pos="740"/>
                <w:tab w:val="left" w:pos="1152"/>
              </w:tabs>
              <w:spacing w:before="40" w:after="80" w:line="240" w:lineRule="exact"/>
              <w:ind w:left="288" w:right="214" w:hanging="288"/>
              <w:jc w:val="left"/>
              <w:rPr>
                <w:szCs w:val="20"/>
                <w:lang w:val="fr-FR"/>
              </w:rPr>
            </w:pPr>
            <w:r w:rsidRPr="003A3559">
              <w:rPr>
                <w:szCs w:val="20"/>
                <w:lang w:val="fr-FR"/>
              </w:rPr>
              <w:t>5.</w:t>
            </w:r>
            <w:r w:rsidRPr="003A3559">
              <w:rPr>
                <w:szCs w:val="20"/>
                <w:lang w:val="fr-FR"/>
              </w:rPr>
              <w:tab/>
              <w:t>Mobilité fonctionnelle (au moins une année de service continu)</w:t>
            </w:r>
            <w:r w:rsidRPr="003A3559">
              <w:rPr>
                <w:i/>
                <w:iCs/>
                <w:szCs w:val="20"/>
                <w:vertAlign w:val="superscript"/>
                <w:lang w:val="fr-FR"/>
              </w:rPr>
              <w:t>c</w:t>
            </w:r>
          </w:p>
        </w:tc>
        <w:tc>
          <w:tcPr>
            <w:tcW w:w="3190" w:type="dxa"/>
            <w:shd w:val="clear" w:color="auto" w:fill="auto"/>
          </w:tcPr>
          <w:p w14:paraId="3E93B300" w14:textId="77777777" w:rsidR="007A7687" w:rsidRPr="003A3559" w:rsidRDefault="007A7687" w:rsidP="003A35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470"/>
                <w:tab w:val="left" w:pos="740"/>
                <w:tab w:val="left" w:pos="1152"/>
              </w:tabs>
              <w:spacing w:before="40" w:after="80" w:line="240" w:lineRule="exact"/>
              <w:ind w:left="0" w:right="43"/>
              <w:jc w:val="left"/>
              <w:rPr>
                <w:szCs w:val="20"/>
                <w:lang w:val="en-GB"/>
              </w:rPr>
            </w:pPr>
            <w:r w:rsidRPr="003A3559">
              <w:rPr>
                <w:szCs w:val="20"/>
                <w:lang w:val="fr-FR"/>
              </w:rPr>
              <w:t>2 points par affectation</w:t>
            </w:r>
          </w:p>
        </w:tc>
      </w:tr>
      <w:tr w:rsidR="007A7687" w:rsidRPr="003A3559" w14:paraId="1883C37D" w14:textId="77777777" w:rsidTr="003A3559">
        <w:tc>
          <w:tcPr>
            <w:tcW w:w="5393" w:type="dxa"/>
            <w:shd w:val="clear" w:color="auto" w:fill="auto"/>
          </w:tcPr>
          <w:p w14:paraId="0E46CB26" w14:textId="085F22B4" w:rsidR="007A7687" w:rsidRPr="003A3559" w:rsidRDefault="007A7687" w:rsidP="003A35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470"/>
                <w:tab w:val="left" w:pos="740"/>
                <w:tab w:val="left" w:pos="1152"/>
              </w:tabs>
              <w:spacing w:before="40" w:after="80" w:line="240" w:lineRule="exact"/>
              <w:ind w:left="288" w:right="214" w:hanging="288"/>
              <w:jc w:val="left"/>
              <w:rPr>
                <w:szCs w:val="20"/>
                <w:lang w:val="fr-FR"/>
              </w:rPr>
            </w:pPr>
            <w:r w:rsidRPr="003A3559">
              <w:rPr>
                <w:szCs w:val="20"/>
                <w:lang w:val="fr-FR"/>
              </w:rPr>
              <w:t>6.</w:t>
            </w:r>
            <w:r w:rsidRPr="003A3559">
              <w:rPr>
                <w:szCs w:val="20"/>
                <w:lang w:val="fr-FR"/>
              </w:rPr>
              <w:tab/>
              <w:t>Maîtrise d</w:t>
            </w:r>
            <w:r w:rsidR="00C6585B" w:rsidRPr="003A3559">
              <w:rPr>
                <w:szCs w:val="20"/>
                <w:lang w:val="fr-FR"/>
              </w:rPr>
              <w:t>’</w:t>
            </w:r>
            <w:r w:rsidRPr="003A3559">
              <w:rPr>
                <w:szCs w:val="20"/>
                <w:lang w:val="fr-FR"/>
              </w:rPr>
              <w:t>une langue officielle autre que la langue maternelle</w:t>
            </w:r>
          </w:p>
        </w:tc>
        <w:tc>
          <w:tcPr>
            <w:tcW w:w="3190" w:type="dxa"/>
            <w:shd w:val="clear" w:color="auto" w:fill="auto"/>
          </w:tcPr>
          <w:p w14:paraId="4CEC18E4" w14:textId="77777777" w:rsidR="007A7687" w:rsidRPr="003A3559" w:rsidRDefault="007A7687" w:rsidP="003A35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470"/>
                <w:tab w:val="left" w:pos="740"/>
                <w:tab w:val="left" w:pos="1152"/>
              </w:tabs>
              <w:spacing w:before="40" w:after="80" w:line="240" w:lineRule="exact"/>
              <w:ind w:left="0" w:right="43"/>
              <w:jc w:val="left"/>
              <w:rPr>
                <w:szCs w:val="20"/>
                <w:lang w:val="en-GB"/>
              </w:rPr>
            </w:pPr>
            <w:r w:rsidRPr="003A3559">
              <w:rPr>
                <w:szCs w:val="20"/>
                <w:lang w:val="fr-FR"/>
              </w:rPr>
              <w:t>2 points</w:t>
            </w:r>
          </w:p>
        </w:tc>
      </w:tr>
      <w:tr w:rsidR="007A7687" w:rsidRPr="003A3559" w14:paraId="6D370564" w14:textId="77777777" w:rsidTr="003A3559">
        <w:tc>
          <w:tcPr>
            <w:tcW w:w="5393" w:type="dxa"/>
            <w:tcBorders>
              <w:bottom w:val="single" w:sz="12" w:space="0" w:color="auto"/>
            </w:tcBorders>
            <w:shd w:val="clear" w:color="auto" w:fill="auto"/>
          </w:tcPr>
          <w:p w14:paraId="11EF5207" w14:textId="77777777" w:rsidR="007A7687" w:rsidRPr="003A3559" w:rsidRDefault="007A7687" w:rsidP="003A35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470"/>
                <w:tab w:val="left" w:pos="740"/>
                <w:tab w:val="left" w:pos="1152"/>
              </w:tabs>
              <w:spacing w:before="40" w:after="80" w:line="240" w:lineRule="exact"/>
              <w:ind w:left="288" w:right="214" w:hanging="288"/>
              <w:jc w:val="left"/>
              <w:rPr>
                <w:szCs w:val="20"/>
                <w:lang w:val="fr-FR"/>
              </w:rPr>
            </w:pPr>
            <w:r w:rsidRPr="003A3559">
              <w:rPr>
                <w:szCs w:val="20"/>
                <w:lang w:val="fr-FR"/>
              </w:rPr>
              <w:t>7.</w:t>
            </w:r>
            <w:r w:rsidRPr="003A3559">
              <w:rPr>
                <w:szCs w:val="20"/>
                <w:lang w:val="fr-FR"/>
              </w:rPr>
              <w:tab/>
              <w:t>Années de service en sus des cinq années requises</w:t>
            </w:r>
          </w:p>
        </w:tc>
        <w:tc>
          <w:tcPr>
            <w:tcW w:w="3190" w:type="dxa"/>
            <w:tcBorders>
              <w:bottom w:val="single" w:sz="12" w:space="0" w:color="auto"/>
            </w:tcBorders>
            <w:shd w:val="clear" w:color="auto" w:fill="auto"/>
          </w:tcPr>
          <w:p w14:paraId="252A9230" w14:textId="77777777" w:rsidR="007A7687" w:rsidRPr="003A3559" w:rsidRDefault="007A7687" w:rsidP="003A35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470"/>
                <w:tab w:val="left" w:pos="740"/>
                <w:tab w:val="left" w:pos="1152"/>
              </w:tabs>
              <w:spacing w:before="40" w:after="80" w:line="240" w:lineRule="exact"/>
              <w:ind w:left="0" w:right="43"/>
              <w:jc w:val="left"/>
              <w:rPr>
                <w:szCs w:val="20"/>
                <w:lang w:val="en-GB"/>
              </w:rPr>
            </w:pPr>
            <w:r w:rsidRPr="003A3559">
              <w:rPr>
                <w:szCs w:val="20"/>
                <w:lang w:val="fr-FR"/>
              </w:rPr>
              <w:t>1 point par année</w:t>
            </w:r>
          </w:p>
        </w:tc>
      </w:tr>
    </w:tbl>
    <w:p w14:paraId="72D6B1E1" w14:textId="77777777" w:rsidR="007A7687" w:rsidRPr="007D6C92" w:rsidRDefault="007A7687" w:rsidP="007D6C92">
      <w:pPr>
        <w:pStyle w:val="SingleTxt"/>
        <w:spacing w:after="0" w:line="120" w:lineRule="exact"/>
        <w:rPr>
          <w:sz w:val="10"/>
          <w:lang w:val="en-GB"/>
        </w:rPr>
      </w:pPr>
    </w:p>
    <w:p w14:paraId="3172FBF3" w14:textId="0C078080" w:rsidR="007A7687" w:rsidRPr="007A7687" w:rsidRDefault="007D6C92" w:rsidP="007D6C92">
      <w:pPr>
        <w:pStyle w:val="FootnoteText"/>
        <w:tabs>
          <w:tab w:val="right" w:pos="1476"/>
          <w:tab w:val="left" w:pos="1548"/>
          <w:tab w:val="right" w:pos="1836"/>
          <w:tab w:val="left" w:pos="1908"/>
        </w:tabs>
        <w:ind w:left="1548" w:hanging="288"/>
        <w:rPr>
          <w:lang w:val="fr-FR"/>
        </w:rPr>
      </w:pPr>
      <w:r>
        <w:rPr>
          <w:lang w:val="fr-FR"/>
        </w:rPr>
        <w:tab/>
      </w:r>
      <w:r w:rsidR="007A7687" w:rsidRPr="007D6C92">
        <w:rPr>
          <w:i/>
          <w:iCs/>
          <w:vertAlign w:val="superscript"/>
          <w:lang w:val="fr-FR"/>
        </w:rPr>
        <w:t>a</w:t>
      </w:r>
      <w:r w:rsidR="007A7687" w:rsidRPr="007A7687">
        <w:rPr>
          <w:lang w:val="fr-FR"/>
        </w:rPr>
        <w:tab/>
        <w:t>Par affectation, on entend la nomination initiale dans un lieu d</w:t>
      </w:r>
      <w:r w:rsidR="00C6585B">
        <w:rPr>
          <w:lang w:val="fr-FR"/>
        </w:rPr>
        <w:t>’</w:t>
      </w:r>
      <w:r w:rsidR="007A7687" w:rsidRPr="007A7687">
        <w:rPr>
          <w:lang w:val="fr-FR"/>
        </w:rPr>
        <w:t>affectation ou la mutation dans un autre lieu d</w:t>
      </w:r>
      <w:r w:rsidR="00C6585B">
        <w:rPr>
          <w:lang w:val="fr-FR"/>
        </w:rPr>
        <w:t>’</w:t>
      </w:r>
      <w:r w:rsidR="007A7687" w:rsidRPr="007A7687">
        <w:rPr>
          <w:lang w:val="fr-FR"/>
        </w:rPr>
        <w:t>affectation, pour un an ou plus, enregistrée dans le système officiel.</w:t>
      </w:r>
    </w:p>
    <w:p w14:paraId="233872D2" w14:textId="2DE6961B" w:rsidR="007A7687" w:rsidRPr="007A7687" w:rsidRDefault="007D6C92" w:rsidP="007D6C92">
      <w:pPr>
        <w:pStyle w:val="FootnoteText"/>
        <w:tabs>
          <w:tab w:val="right" w:pos="1476"/>
          <w:tab w:val="left" w:pos="1548"/>
          <w:tab w:val="right" w:pos="1836"/>
          <w:tab w:val="left" w:pos="1908"/>
        </w:tabs>
        <w:ind w:left="1548" w:hanging="288"/>
        <w:rPr>
          <w:vertAlign w:val="superscript"/>
          <w:lang w:val="fr-FR"/>
        </w:rPr>
      </w:pPr>
      <w:r>
        <w:rPr>
          <w:lang w:val="fr-FR"/>
        </w:rPr>
        <w:tab/>
      </w:r>
      <w:r w:rsidR="007A7687" w:rsidRPr="007D6C92">
        <w:rPr>
          <w:i/>
          <w:iCs/>
          <w:vertAlign w:val="superscript"/>
          <w:lang w:val="fr-FR"/>
        </w:rPr>
        <w:t>b</w:t>
      </w:r>
      <w:r w:rsidR="007A7687" w:rsidRPr="007A7687">
        <w:rPr>
          <w:lang w:val="fr-FR"/>
        </w:rPr>
        <w:tab/>
      </w:r>
      <w:r w:rsidR="007A7687" w:rsidRPr="007A7687">
        <w:rPr>
          <w:lang w:val="fr-FR"/>
        </w:rPr>
        <w:tab/>
        <w:t>Par mobilité géographique, on entend une suite de deux périodes de service continu d</w:t>
      </w:r>
      <w:r w:rsidR="00C6585B">
        <w:rPr>
          <w:lang w:val="fr-FR"/>
        </w:rPr>
        <w:t>’</w:t>
      </w:r>
      <w:r w:rsidR="007A7687" w:rsidRPr="007A7687">
        <w:rPr>
          <w:lang w:val="fr-FR"/>
        </w:rPr>
        <w:t>un an au moins chacune dans deux lieux d</w:t>
      </w:r>
      <w:r w:rsidR="00C6585B">
        <w:rPr>
          <w:lang w:val="fr-FR"/>
        </w:rPr>
        <w:t>’</w:t>
      </w:r>
      <w:r w:rsidR="007A7687" w:rsidRPr="007A7687">
        <w:rPr>
          <w:lang w:val="fr-FR"/>
        </w:rPr>
        <w:t>affectation distincts, enregistrées dans le système officiel.</w:t>
      </w:r>
    </w:p>
    <w:p w14:paraId="47999816" w14:textId="02194528" w:rsidR="00117277" w:rsidRDefault="007D6C92" w:rsidP="007D6C92">
      <w:pPr>
        <w:pStyle w:val="FootnoteText"/>
        <w:tabs>
          <w:tab w:val="right" w:pos="1476"/>
          <w:tab w:val="left" w:pos="1548"/>
          <w:tab w:val="right" w:pos="1836"/>
          <w:tab w:val="left" w:pos="1908"/>
        </w:tabs>
        <w:ind w:left="1548" w:hanging="288"/>
        <w:rPr>
          <w:lang w:val="fr-FR"/>
        </w:rPr>
      </w:pPr>
      <w:r>
        <w:rPr>
          <w:vertAlign w:val="superscript"/>
          <w:lang w:val="fr-FR"/>
        </w:rPr>
        <w:tab/>
      </w:r>
      <w:r w:rsidR="007A7687" w:rsidRPr="007D6C92">
        <w:rPr>
          <w:i/>
          <w:iCs/>
          <w:vertAlign w:val="superscript"/>
          <w:lang w:val="fr-FR"/>
        </w:rPr>
        <w:t>c</w:t>
      </w:r>
      <w:r w:rsidR="007A7687" w:rsidRPr="007A7687">
        <w:rPr>
          <w:lang w:val="fr-FR"/>
        </w:rPr>
        <w:tab/>
        <w:t>Par mobilité fonctionnelle, on entend une suite de périodes de service continu d</w:t>
      </w:r>
      <w:r w:rsidR="00C6585B">
        <w:rPr>
          <w:lang w:val="fr-FR"/>
        </w:rPr>
        <w:t>’</w:t>
      </w:r>
      <w:r w:rsidR="007A7687" w:rsidRPr="007A7687">
        <w:rPr>
          <w:lang w:val="fr-FR"/>
        </w:rPr>
        <w:t>au moins un an chacune, enregistrées dans le système officiel et supposant un changement de rôle, de fonctions et de département ou bureau.</w:t>
      </w:r>
    </w:p>
    <w:p w14:paraId="6A6C6DDD" w14:textId="77777777" w:rsidR="007D6C92" w:rsidRPr="007D6C92" w:rsidRDefault="007D6C92" w:rsidP="007D6C92">
      <w:pPr>
        <w:pStyle w:val="FootnoteText"/>
        <w:tabs>
          <w:tab w:val="right" w:pos="1476"/>
          <w:tab w:val="left" w:pos="1548"/>
          <w:tab w:val="right" w:pos="1836"/>
          <w:tab w:val="left" w:pos="1908"/>
        </w:tabs>
        <w:spacing w:line="240" w:lineRule="auto"/>
        <w:ind w:left="1548" w:hanging="288"/>
        <w:rPr>
          <w:sz w:val="20"/>
        </w:rPr>
      </w:pPr>
      <w:r>
        <w:rPr>
          <w:noProof/>
          <w:w w:val="100"/>
          <w:sz w:val="20"/>
          <w:lang w:val="en-GB" w:eastAsia="en-GB"/>
        </w:rPr>
        <mc:AlternateContent>
          <mc:Choice Requires="wps">
            <w:drawing>
              <wp:anchor distT="0" distB="0" distL="114300" distR="114300" simplePos="0" relativeHeight="251659264" behindDoc="0" locked="0" layoutInCell="1" allowOverlap="1" wp14:anchorId="5CBFAA60" wp14:editId="3FF7FEB7">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C05BEC9"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7D6C92" w:rsidRPr="007D6C92" w:rsidSect="007A7687">
      <w:type w:val="continuous"/>
      <w:pgSz w:w="12240" w:h="15840"/>
      <w:pgMar w:top="1440" w:right="1200" w:bottom="1152" w:left="1200" w:header="432" w:footer="504" w:gutter="0"/>
      <w:cols w:space="720"/>
      <w:noEndnote/>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594E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188A8" w14:textId="77777777" w:rsidR="005E4D3D" w:rsidRDefault="005E4D3D" w:rsidP="00117277">
      <w:pPr>
        <w:spacing w:line="240" w:lineRule="auto"/>
      </w:pPr>
      <w:r>
        <w:separator/>
      </w:r>
    </w:p>
  </w:endnote>
  <w:endnote w:type="continuationSeparator" w:id="0">
    <w:p w14:paraId="454D1931" w14:textId="77777777" w:rsidR="005E4D3D" w:rsidRDefault="005E4D3D" w:rsidP="001172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17277" w14:paraId="1E16AF2B" w14:textId="77777777" w:rsidTr="00117277">
      <w:tc>
        <w:tcPr>
          <w:tcW w:w="5028" w:type="dxa"/>
          <w:shd w:val="clear" w:color="auto" w:fill="auto"/>
        </w:tcPr>
        <w:p w14:paraId="4F6F0162" w14:textId="77777777" w:rsidR="00117277" w:rsidRPr="00117277" w:rsidRDefault="00117277" w:rsidP="0011727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556A4">
            <w:rPr>
              <w:b w:val="0"/>
              <w:w w:val="103"/>
              <w:sz w:val="14"/>
            </w:rPr>
            <w:t>17-12240</w:t>
          </w:r>
          <w:r>
            <w:rPr>
              <w:b w:val="0"/>
              <w:w w:val="103"/>
              <w:sz w:val="14"/>
            </w:rPr>
            <w:fldChar w:fldCharType="end"/>
          </w:r>
        </w:p>
      </w:tc>
      <w:tc>
        <w:tcPr>
          <w:tcW w:w="5028" w:type="dxa"/>
          <w:shd w:val="clear" w:color="auto" w:fill="auto"/>
        </w:tcPr>
        <w:p w14:paraId="7094F8B8" w14:textId="6941FDE3" w:rsidR="00117277" w:rsidRPr="00117277" w:rsidRDefault="00117277" w:rsidP="00117277">
          <w:pPr>
            <w:pStyle w:val="Footer"/>
            <w:rPr>
              <w:w w:val="103"/>
            </w:rPr>
          </w:pPr>
          <w:r>
            <w:rPr>
              <w:w w:val="103"/>
            </w:rPr>
            <w:fldChar w:fldCharType="begin"/>
          </w:r>
          <w:r>
            <w:rPr>
              <w:w w:val="103"/>
            </w:rPr>
            <w:instrText xml:space="preserve"> PAGE  \* Arabic  \* MERGEFORMAT </w:instrText>
          </w:r>
          <w:r>
            <w:rPr>
              <w:w w:val="103"/>
            </w:rPr>
            <w:fldChar w:fldCharType="separate"/>
          </w:r>
          <w:r w:rsidR="004175ED">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175ED">
            <w:rPr>
              <w:noProof/>
              <w:w w:val="103"/>
            </w:rPr>
            <w:t>5</w:t>
          </w:r>
          <w:r>
            <w:rPr>
              <w:w w:val="103"/>
            </w:rPr>
            <w:fldChar w:fldCharType="end"/>
          </w:r>
        </w:p>
      </w:tc>
    </w:tr>
  </w:tbl>
  <w:p w14:paraId="674AD611" w14:textId="77777777" w:rsidR="00117277" w:rsidRPr="00117277" w:rsidRDefault="00117277" w:rsidP="001172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17277" w14:paraId="47572DB5" w14:textId="77777777" w:rsidTr="00117277">
      <w:tc>
        <w:tcPr>
          <w:tcW w:w="5028" w:type="dxa"/>
          <w:shd w:val="clear" w:color="auto" w:fill="auto"/>
        </w:tcPr>
        <w:p w14:paraId="3F1601C5" w14:textId="71728D49" w:rsidR="00117277" w:rsidRPr="00117277" w:rsidRDefault="00117277" w:rsidP="0011727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175ED">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175ED">
            <w:rPr>
              <w:noProof/>
              <w:w w:val="103"/>
            </w:rPr>
            <w:t>5</w:t>
          </w:r>
          <w:r>
            <w:rPr>
              <w:w w:val="103"/>
            </w:rPr>
            <w:fldChar w:fldCharType="end"/>
          </w:r>
        </w:p>
      </w:tc>
      <w:tc>
        <w:tcPr>
          <w:tcW w:w="5028" w:type="dxa"/>
          <w:shd w:val="clear" w:color="auto" w:fill="auto"/>
        </w:tcPr>
        <w:p w14:paraId="4A4EAD32" w14:textId="77777777" w:rsidR="00117277" w:rsidRPr="00117277" w:rsidRDefault="00117277" w:rsidP="0011727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556A4">
            <w:rPr>
              <w:b w:val="0"/>
              <w:w w:val="103"/>
              <w:sz w:val="14"/>
            </w:rPr>
            <w:t>17-12240</w:t>
          </w:r>
          <w:r>
            <w:rPr>
              <w:b w:val="0"/>
              <w:w w:val="103"/>
              <w:sz w:val="14"/>
            </w:rPr>
            <w:fldChar w:fldCharType="end"/>
          </w:r>
        </w:p>
      </w:tc>
    </w:tr>
  </w:tbl>
  <w:p w14:paraId="76814AB9" w14:textId="77777777" w:rsidR="00117277" w:rsidRPr="00117277" w:rsidRDefault="00117277" w:rsidP="001172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8BC35" w14:textId="77777777" w:rsidR="00117277" w:rsidRDefault="00117277">
    <w:pPr>
      <w:pStyle w:val="Footer"/>
    </w:pPr>
    <w:r>
      <w:rPr>
        <w:noProof/>
        <w:lang w:val="en-GB" w:eastAsia="en-GB"/>
      </w:rPr>
      <w:drawing>
        <wp:anchor distT="0" distB="0" distL="114300" distR="114300" simplePos="0" relativeHeight="251658240" behindDoc="0" locked="0" layoutInCell="1" allowOverlap="1" wp14:anchorId="39CC5B33" wp14:editId="6FD37E61">
          <wp:simplePos x="0" y="0"/>
          <wp:positionH relativeFrom="column">
            <wp:posOffset>5532120</wp:posOffset>
          </wp:positionH>
          <wp:positionV relativeFrom="paragraph">
            <wp:posOffset>-173355</wp:posOffset>
          </wp:positionV>
          <wp:extent cx="694690" cy="694690"/>
          <wp:effectExtent l="0" t="0" r="0" b="0"/>
          <wp:wrapNone/>
          <wp:docPr id="3" name="Picture 3" descr="https://undocs.org/m2/QRCode2.ashx?DS=ST/IC/2017/2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7/2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117277" w14:paraId="5BF37F37" w14:textId="77777777" w:rsidTr="00117277">
      <w:tc>
        <w:tcPr>
          <w:tcW w:w="3758" w:type="dxa"/>
        </w:tcPr>
        <w:p w14:paraId="42A90569" w14:textId="77777777" w:rsidR="00117277" w:rsidRDefault="00117277" w:rsidP="008D0AE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556A4">
            <w:rPr>
              <w:b w:val="0"/>
              <w:sz w:val="20"/>
            </w:rPr>
            <w:t>17-12240 (F)</w:t>
          </w:r>
          <w:r>
            <w:rPr>
              <w:b w:val="0"/>
              <w:sz w:val="20"/>
            </w:rPr>
            <w:fldChar w:fldCharType="end"/>
          </w:r>
          <w:r>
            <w:rPr>
              <w:b w:val="0"/>
              <w:sz w:val="20"/>
            </w:rPr>
            <w:t xml:space="preserve">    260717    2</w:t>
          </w:r>
          <w:r w:rsidR="008D0AEE">
            <w:rPr>
              <w:b w:val="0"/>
              <w:sz w:val="20"/>
            </w:rPr>
            <w:t>8</w:t>
          </w:r>
          <w:r>
            <w:rPr>
              <w:b w:val="0"/>
              <w:sz w:val="20"/>
            </w:rPr>
            <w:t>0717</w:t>
          </w:r>
        </w:p>
        <w:p w14:paraId="694163E9" w14:textId="77777777" w:rsidR="00117277" w:rsidRPr="00117277" w:rsidRDefault="00117277" w:rsidP="0011727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6556A4">
            <w:rPr>
              <w:rFonts w:ascii="Barcode 3 of 9 by request" w:hAnsi="Barcode 3 of 9 by request"/>
              <w:b w:val="0"/>
              <w:spacing w:val="0"/>
              <w:w w:val="100"/>
              <w:sz w:val="24"/>
            </w:rPr>
            <w:t>*1712240*</w:t>
          </w:r>
          <w:r>
            <w:rPr>
              <w:rFonts w:ascii="Barcode 3 of 9 by request" w:hAnsi="Barcode 3 of 9 by request"/>
              <w:b w:val="0"/>
              <w:spacing w:val="0"/>
              <w:w w:val="100"/>
              <w:sz w:val="24"/>
            </w:rPr>
            <w:fldChar w:fldCharType="end"/>
          </w:r>
        </w:p>
      </w:tc>
      <w:tc>
        <w:tcPr>
          <w:tcW w:w="5028" w:type="dxa"/>
        </w:tcPr>
        <w:p w14:paraId="0CA2C886" w14:textId="77777777" w:rsidR="00117277" w:rsidRDefault="00117277" w:rsidP="00117277">
          <w:pPr>
            <w:pStyle w:val="Footer"/>
            <w:spacing w:line="240" w:lineRule="atLeast"/>
            <w:jc w:val="right"/>
            <w:rPr>
              <w:b w:val="0"/>
              <w:sz w:val="20"/>
            </w:rPr>
          </w:pPr>
          <w:r>
            <w:rPr>
              <w:b w:val="0"/>
              <w:noProof/>
              <w:sz w:val="20"/>
              <w:lang w:val="en-GB" w:eastAsia="en-GB"/>
            </w:rPr>
            <w:drawing>
              <wp:inline distT="0" distB="0" distL="0" distR="0" wp14:anchorId="1FA43AB0" wp14:editId="7A6C37B1">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14:paraId="27644636" w14:textId="77777777" w:rsidR="00117277" w:rsidRPr="00117277" w:rsidRDefault="00117277" w:rsidP="00117277">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CE817" w14:textId="77777777" w:rsidR="005E4D3D" w:rsidRPr="007A7687" w:rsidRDefault="005E4D3D" w:rsidP="007A7687">
      <w:pPr>
        <w:pStyle w:val="Footer"/>
        <w:spacing w:after="80"/>
        <w:ind w:left="792"/>
        <w:rPr>
          <w:sz w:val="16"/>
        </w:rPr>
      </w:pPr>
      <w:r w:rsidRPr="007A7687">
        <w:rPr>
          <w:sz w:val="16"/>
        </w:rPr>
        <w:t>__________________</w:t>
      </w:r>
    </w:p>
  </w:footnote>
  <w:footnote w:type="continuationSeparator" w:id="0">
    <w:p w14:paraId="2E0B4ADC" w14:textId="77777777" w:rsidR="005E4D3D" w:rsidRPr="007A7687" w:rsidRDefault="005E4D3D" w:rsidP="007A7687">
      <w:pPr>
        <w:pStyle w:val="Footer"/>
        <w:spacing w:after="80"/>
        <w:ind w:left="792"/>
        <w:rPr>
          <w:sz w:val="16"/>
        </w:rPr>
      </w:pPr>
      <w:r w:rsidRPr="007A7687">
        <w:rPr>
          <w:sz w:val="16"/>
        </w:rPr>
        <w:t>__________________</w:t>
      </w:r>
    </w:p>
  </w:footnote>
  <w:footnote w:id="1">
    <w:p w14:paraId="24A185A0" w14:textId="1E7EBD9D" w:rsidR="007A7687" w:rsidRDefault="007A7687" w:rsidP="007A7687">
      <w:pPr>
        <w:pStyle w:val="FootnoteText"/>
        <w:tabs>
          <w:tab w:val="right" w:pos="1195"/>
          <w:tab w:val="left" w:pos="1267"/>
          <w:tab w:val="left" w:pos="1742"/>
          <w:tab w:val="left" w:pos="2218"/>
          <w:tab w:val="left" w:pos="2693"/>
        </w:tabs>
        <w:ind w:left="1267" w:right="1260" w:hanging="432"/>
        <w:rPr>
          <w:lang w:val="fr-FR"/>
        </w:rPr>
      </w:pPr>
      <w:r>
        <w:rPr>
          <w:lang w:val="fr-FR"/>
        </w:rPr>
        <w:tab/>
        <w:t>*</w:t>
      </w:r>
      <w:r>
        <w:rPr>
          <w:lang w:val="fr-FR"/>
        </w:rPr>
        <w:tab/>
        <w:t>La présente circulaire restera en vigueur jusqu</w:t>
      </w:r>
      <w:r w:rsidR="00C6585B">
        <w:rPr>
          <w:lang w:val="fr-FR"/>
        </w:rPr>
        <w:t>’</w:t>
      </w:r>
      <w:r>
        <w:rPr>
          <w:lang w:val="fr-FR"/>
        </w:rPr>
        <w:t>à nouvel ordre.</w:t>
      </w:r>
    </w:p>
    <w:p w14:paraId="63901C92" w14:textId="77777777" w:rsidR="007A7687" w:rsidRPr="00146957" w:rsidRDefault="007A7687" w:rsidP="007A7687">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lang w:val="fr-FR"/>
        </w:rPr>
        <w:footnoteRef/>
      </w:r>
      <w:r>
        <w:rPr>
          <w:lang w:val="fr-FR"/>
        </w:rPr>
        <w:tab/>
        <w:t xml:space="preserve">Le calcul des enveloppes de postes est expliqué aux paragraphes 51 et 52 de la résolution </w:t>
      </w:r>
      <w:hyperlink r:id="rId1" w:history="1">
        <w:r w:rsidRPr="007D6C92">
          <w:rPr>
            <w:rStyle w:val="Hyperlink"/>
            <w:lang w:val="fr-FR"/>
          </w:rPr>
          <w:t>65/247</w:t>
        </w:r>
      </w:hyperlink>
      <w:r>
        <w:rPr>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117277" w14:paraId="1C66C4A2" w14:textId="77777777" w:rsidTr="00117277">
      <w:trPr>
        <w:trHeight w:hRule="exact" w:val="864"/>
      </w:trPr>
      <w:tc>
        <w:tcPr>
          <w:tcW w:w="4838" w:type="dxa"/>
          <w:shd w:val="clear" w:color="auto" w:fill="auto"/>
          <w:vAlign w:val="bottom"/>
        </w:tcPr>
        <w:p w14:paraId="61D36E7C" w14:textId="77777777" w:rsidR="00117277" w:rsidRPr="00117277" w:rsidRDefault="00117277" w:rsidP="0011727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556A4">
            <w:rPr>
              <w:b/>
              <w:color w:val="000000"/>
            </w:rPr>
            <w:t>ST/IC/2017/23</w:t>
          </w:r>
          <w:r>
            <w:rPr>
              <w:b/>
              <w:color w:val="000000"/>
            </w:rPr>
            <w:fldChar w:fldCharType="end"/>
          </w:r>
        </w:p>
      </w:tc>
      <w:tc>
        <w:tcPr>
          <w:tcW w:w="5028" w:type="dxa"/>
          <w:shd w:val="clear" w:color="auto" w:fill="auto"/>
          <w:vAlign w:val="bottom"/>
        </w:tcPr>
        <w:p w14:paraId="07427A9E" w14:textId="77777777" w:rsidR="00117277" w:rsidRDefault="00117277" w:rsidP="00117277">
          <w:pPr>
            <w:pStyle w:val="Header"/>
          </w:pPr>
        </w:p>
      </w:tc>
    </w:tr>
  </w:tbl>
  <w:p w14:paraId="2D924E66" w14:textId="77777777" w:rsidR="00117277" w:rsidRPr="00117277" w:rsidRDefault="00117277" w:rsidP="00117277">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117277" w14:paraId="0EB7FF36" w14:textId="77777777" w:rsidTr="00117277">
      <w:trPr>
        <w:trHeight w:hRule="exact" w:val="864"/>
      </w:trPr>
      <w:tc>
        <w:tcPr>
          <w:tcW w:w="4838" w:type="dxa"/>
          <w:shd w:val="clear" w:color="auto" w:fill="auto"/>
          <w:vAlign w:val="bottom"/>
        </w:tcPr>
        <w:p w14:paraId="1C33FA09" w14:textId="77777777" w:rsidR="00117277" w:rsidRDefault="00117277" w:rsidP="00117277">
          <w:pPr>
            <w:pStyle w:val="Header"/>
          </w:pPr>
        </w:p>
      </w:tc>
      <w:tc>
        <w:tcPr>
          <w:tcW w:w="5028" w:type="dxa"/>
          <w:shd w:val="clear" w:color="auto" w:fill="auto"/>
          <w:vAlign w:val="bottom"/>
        </w:tcPr>
        <w:p w14:paraId="110BDA07" w14:textId="77777777" w:rsidR="00117277" w:rsidRPr="00117277" w:rsidRDefault="00117277" w:rsidP="0011727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556A4">
            <w:rPr>
              <w:b/>
              <w:color w:val="000000"/>
            </w:rPr>
            <w:t>ST/IC/2017/23</w:t>
          </w:r>
          <w:r>
            <w:rPr>
              <w:b/>
              <w:color w:val="000000"/>
            </w:rPr>
            <w:fldChar w:fldCharType="end"/>
          </w:r>
        </w:p>
      </w:tc>
    </w:tr>
  </w:tbl>
  <w:p w14:paraId="43C664BA" w14:textId="77777777" w:rsidR="00117277" w:rsidRPr="00117277" w:rsidRDefault="00117277" w:rsidP="0011727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117277" w14:paraId="65A5A063" w14:textId="77777777" w:rsidTr="00117277">
      <w:trPr>
        <w:gridAfter w:val="1"/>
        <w:wAfter w:w="12" w:type="dxa"/>
        <w:trHeight w:hRule="exact" w:val="864"/>
      </w:trPr>
      <w:tc>
        <w:tcPr>
          <w:tcW w:w="1267" w:type="dxa"/>
          <w:tcBorders>
            <w:bottom w:val="single" w:sz="4" w:space="0" w:color="auto"/>
          </w:tcBorders>
          <w:shd w:val="clear" w:color="auto" w:fill="auto"/>
          <w:vAlign w:val="bottom"/>
        </w:tcPr>
        <w:p w14:paraId="37DF2FC6" w14:textId="77777777" w:rsidR="00117277" w:rsidRDefault="00117277" w:rsidP="00117277">
          <w:pPr>
            <w:pStyle w:val="Header"/>
            <w:spacing w:after="120"/>
          </w:pPr>
        </w:p>
      </w:tc>
      <w:tc>
        <w:tcPr>
          <w:tcW w:w="2059" w:type="dxa"/>
          <w:tcBorders>
            <w:bottom w:val="single" w:sz="4" w:space="0" w:color="auto"/>
          </w:tcBorders>
          <w:shd w:val="clear" w:color="auto" w:fill="auto"/>
          <w:vAlign w:val="bottom"/>
        </w:tcPr>
        <w:p w14:paraId="08389327" w14:textId="77777777" w:rsidR="00117277" w:rsidRPr="00117277" w:rsidRDefault="00117277" w:rsidP="00117277">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7D71F8EF" w14:textId="77777777" w:rsidR="00117277" w:rsidRDefault="00117277" w:rsidP="00117277">
          <w:pPr>
            <w:pStyle w:val="Header"/>
            <w:spacing w:after="120"/>
          </w:pPr>
        </w:p>
      </w:tc>
      <w:tc>
        <w:tcPr>
          <w:tcW w:w="6523" w:type="dxa"/>
          <w:gridSpan w:val="3"/>
          <w:tcBorders>
            <w:bottom w:val="single" w:sz="4" w:space="0" w:color="auto"/>
          </w:tcBorders>
          <w:shd w:val="clear" w:color="auto" w:fill="auto"/>
          <w:vAlign w:val="bottom"/>
        </w:tcPr>
        <w:p w14:paraId="1867EAC1" w14:textId="77777777" w:rsidR="00117277" w:rsidRPr="00117277" w:rsidRDefault="00117277" w:rsidP="00117277">
          <w:pPr>
            <w:spacing w:after="80" w:line="240" w:lineRule="auto"/>
            <w:jc w:val="right"/>
            <w:rPr>
              <w:position w:val="-4"/>
            </w:rPr>
          </w:pPr>
          <w:r>
            <w:rPr>
              <w:position w:val="-4"/>
              <w:sz w:val="40"/>
            </w:rPr>
            <w:t>ST</w:t>
          </w:r>
          <w:r>
            <w:rPr>
              <w:position w:val="-4"/>
            </w:rPr>
            <w:t>/IC/2017/23</w:t>
          </w:r>
        </w:p>
      </w:tc>
    </w:tr>
    <w:tr w:rsidR="00117277" w:rsidRPr="00117277" w14:paraId="42717DAC" w14:textId="77777777" w:rsidTr="00117277">
      <w:trPr>
        <w:trHeight w:hRule="exact" w:val="2880"/>
      </w:trPr>
      <w:tc>
        <w:tcPr>
          <w:tcW w:w="1267" w:type="dxa"/>
          <w:tcBorders>
            <w:top w:val="single" w:sz="4" w:space="0" w:color="auto"/>
            <w:bottom w:val="single" w:sz="12" w:space="0" w:color="auto"/>
          </w:tcBorders>
          <w:shd w:val="clear" w:color="auto" w:fill="auto"/>
        </w:tcPr>
        <w:p w14:paraId="1E06F199" w14:textId="77777777" w:rsidR="00117277" w:rsidRPr="00117277" w:rsidRDefault="00117277" w:rsidP="00117277">
          <w:pPr>
            <w:pStyle w:val="Header"/>
            <w:spacing w:before="120" w:line="240" w:lineRule="auto"/>
            <w:ind w:left="-72"/>
            <w:jc w:val="center"/>
          </w:pPr>
          <w:r>
            <w:t xml:space="preserve">  </w:t>
          </w:r>
          <w:r>
            <w:rPr>
              <w:noProof/>
              <w:lang w:val="en-GB" w:eastAsia="en-GB"/>
            </w:rPr>
            <w:drawing>
              <wp:inline distT="0" distB="0" distL="0" distR="0" wp14:anchorId="317C1086" wp14:editId="7F92B23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B6F492F" w14:textId="77777777" w:rsidR="00117277" w:rsidRPr="00117277" w:rsidRDefault="00117277" w:rsidP="00117277">
          <w:pPr>
            <w:pStyle w:val="XLarge"/>
            <w:spacing w:before="109"/>
          </w:pPr>
          <w:r>
            <w:t>Secrétariat</w:t>
          </w:r>
        </w:p>
      </w:tc>
      <w:tc>
        <w:tcPr>
          <w:tcW w:w="245" w:type="dxa"/>
          <w:tcBorders>
            <w:top w:val="single" w:sz="4" w:space="0" w:color="auto"/>
            <w:bottom w:val="single" w:sz="12" w:space="0" w:color="auto"/>
          </w:tcBorders>
          <w:shd w:val="clear" w:color="auto" w:fill="auto"/>
        </w:tcPr>
        <w:p w14:paraId="4757584E" w14:textId="77777777" w:rsidR="00117277" w:rsidRPr="00117277" w:rsidRDefault="00117277" w:rsidP="00117277">
          <w:pPr>
            <w:pStyle w:val="Header"/>
            <w:spacing w:before="109"/>
          </w:pPr>
        </w:p>
      </w:tc>
      <w:tc>
        <w:tcPr>
          <w:tcW w:w="3180" w:type="dxa"/>
          <w:gridSpan w:val="2"/>
          <w:tcBorders>
            <w:top w:val="single" w:sz="4" w:space="0" w:color="auto"/>
            <w:bottom w:val="single" w:sz="12" w:space="0" w:color="auto"/>
          </w:tcBorders>
          <w:shd w:val="clear" w:color="auto" w:fill="auto"/>
        </w:tcPr>
        <w:p w14:paraId="7CE38611" w14:textId="77777777" w:rsidR="00117277" w:rsidRDefault="00117277" w:rsidP="002D5D5F">
          <w:pPr>
            <w:pStyle w:val="Publication"/>
            <w:spacing w:before="400"/>
            <w:rPr>
              <w:color w:val="000000"/>
            </w:rPr>
          </w:pPr>
          <w:r>
            <w:rPr>
              <w:color w:val="000000"/>
            </w:rPr>
            <w:t>19</w:t>
          </w:r>
          <w:r w:rsidR="002D5D5F">
            <w:rPr>
              <w:color w:val="000000"/>
            </w:rPr>
            <w:t> </w:t>
          </w:r>
          <w:r>
            <w:rPr>
              <w:color w:val="000000"/>
            </w:rPr>
            <w:t>juillet 2017</w:t>
          </w:r>
        </w:p>
        <w:p w14:paraId="3F9B434B" w14:textId="77777777" w:rsidR="00117277" w:rsidRPr="00117277" w:rsidRDefault="00117277" w:rsidP="00117277">
          <w:pPr>
            <w:rPr>
              <w:lang w:val="en-US"/>
            </w:rPr>
          </w:pPr>
        </w:p>
      </w:tc>
    </w:tr>
  </w:tbl>
  <w:p w14:paraId="16EEF8C4" w14:textId="77777777" w:rsidR="00117277" w:rsidRPr="00117277" w:rsidRDefault="00117277" w:rsidP="00117277">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BA15607"/>
    <w:multiLevelType w:val="singleLevel"/>
    <w:tmpl w:val="D5A23EB0"/>
    <w:lvl w:ilvl="0">
      <w:start w:val="1"/>
      <w:numFmt w:val="decimal"/>
      <w:lvlRestart w:val="0"/>
      <w:lvlText w:val="%1."/>
      <w:lvlJc w:val="left"/>
      <w:pPr>
        <w:tabs>
          <w:tab w:val="num" w:pos="475"/>
        </w:tabs>
        <w:ind w:left="0" w:firstLine="0"/>
      </w:pPr>
      <w:rPr>
        <w:w w:val="100"/>
      </w:r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A3D32"/>
    <w:multiLevelType w:val="singleLevel"/>
    <w:tmpl w:val="C3D2E878"/>
    <w:lvl w:ilvl="0">
      <w:start w:val="3"/>
      <w:numFmt w:val="decimal"/>
      <w:lvlRestart w:val="0"/>
      <w:lvlText w:val="%1."/>
      <w:lvlJc w:val="left"/>
      <w:pPr>
        <w:tabs>
          <w:tab w:val="num" w:pos="1742"/>
        </w:tabs>
        <w:ind w:left="1267" w:firstLine="0"/>
      </w:pPr>
      <w:rPr>
        <w:i w:val="0"/>
        <w:w w:val="100"/>
      </w:rPr>
    </w:lvl>
  </w:abstractNum>
  <w:abstractNum w:abstractNumId="5">
    <w:nsid w:val="2277722B"/>
    <w:multiLevelType w:val="singleLevel"/>
    <w:tmpl w:val="0809000F"/>
    <w:lvl w:ilvl="0">
      <w:start w:val="1"/>
      <w:numFmt w:val="decimal"/>
      <w:lvlText w:val="%1."/>
      <w:lvlJc w:val="left"/>
      <w:pPr>
        <w:ind w:left="720" w:hanging="360"/>
      </w:pPr>
    </w:lvl>
  </w:abstractNum>
  <w:abstractNum w:abstractNumId="6">
    <w:nsid w:val="2BB61317"/>
    <w:multiLevelType w:val="singleLevel"/>
    <w:tmpl w:val="B8261660"/>
    <w:lvl w:ilvl="0">
      <w:start w:val="5"/>
      <w:numFmt w:val="decimal"/>
      <w:lvlRestart w:val="0"/>
      <w:lvlText w:val="%1."/>
      <w:lvlJc w:val="left"/>
      <w:pPr>
        <w:tabs>
          <w:tab w:val="num" w:pos="1742"/>
        </w:tabs>
        <w:ind w:left="1267" w:firstLine="0"/>
      </w:pPr>
      <w:rPr>
        <w:w w:val="100"/>
      </w:rPr>
    </w:lvl>
  </w:abstractNum>
  <w:abstractNum w:abstractNumId="7">
    <w:nsid w:val="2ED26BEB"/>
    <w:multiLevelType w:val="singleLevel"/>
    <w:tmpl w:val="78FCF846"/>
    <w:lvl w:ilvl="0">
      <w:start w:val="6"/>
      <w:numFmt w:val="decimal"/>
      <w:lvlRestart w:val="0"/>
      <w:lvlText w:val="%1."/>
      <w:lvlJc w:val="left"/>
      <w:pPr>
        <w:tabs>
          <w:tab w:val="num" w:pos="1742"/>
        </w:tabs>
        <w:ind w:left="1267" w:firstLine="0"/>
      </w:pPr>
      <w:rPr>
        <w:w w:val="100"/>
      </w:rPr>
    </w:lvl>
  </w:abstractNum>
  <w:abstractNum w:abstractNumId="8">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105254"/>
    <w:multiLevelType w:val="singleLevel"/>
    <w:tmpl w:val="293E789E"/>
    <w:lvl w:ilvl="0">
      <w:start w:val="1"/>
      <w:numFmt w:val="decimal"/>
      <w:lvlRestart w:val="0"/>
      <w:lvlText w:val="%1."/>
      <w:lvlJc w:val="left"/>
      <w:pPr>
        <w:tabs>
          <w:tab w:val="num" w:pos="475"/>
        </w:tabs>
        <w:ind w:left="0" w:firstLine="0"/>
      </w:pPr>
      <w:rPr>
        <w:w w:val="100"/>
      </w:rPr>
    </w:lvl>
  </w:abstractNum>
  <w:abstractNum w:abstractNumId="10">
    <w:nsid w:val="6EF46197"/>
    <w:multiLevelType w:val="singleLevel"/>
    <w:tmpl w:val="01C406D0"/>
    <w:lvl w:ilvl="0">
      <w:start w:val="5"/>
      <w:numFmt w:val="decimal"/>
      <w:lvlRestart w:val="0"/>
      <w:lvlText w:val="%1."/>
      <w:lvlJc w:val="left"/>
      <w:pPr>
        <w:tabs>
          <w:tab w:val="num" w:pos="1742"/>
        </w:tabs>
        <w:ind w:left="1267" w:firstLine="0"/>
      </w:pPr>
      <w:rPr>
        <w:i w:val="0"/>
        <w:iCs/>
        <w:w w:val="100"/>
      </w:rPr>
    </w:lvl>
  </w:abstractNum>
  <w:abstractNum w:abstractNumId="11">
    <w:nsid w:val="75673EA4"/>
    <w:multiLevelType w:val="hybridMultilevel"/>
    <w:tmpl w:val="95881574"/>
    <w:lvl w:ilvl="0" w:tplc="8C283D3C">
      <w:start w:val="1"/>
      <w:numFmt w:val="decimal"/>
      <w:lvlText w:val="%1."/>
      <w:lvlJc w:val="left"/>
      <w:pPr>
        <w:tabs>
          <w:tab w:val="num" w:pos="1614"/>
        </w:tabs>
        <w:ind w:left="1614" w:hanging="360"/>
      </w:pPr>
      <w:rPr>
        <w:rFonts w:hint="default"/>
        <w:i w:val="0"/>
      </w:rPr>
    </w:lvl>
    <w:lvl w:ilvl="1" w:tplc="08090019">
      <w:start w:val="1"/>
      <w:numFmt w:val="lowerLetter"/>
      <w:lvlText w:val="%2."/>
      <w:lvlJc w:val="left"/>
      <w:pPr>
        <w:tabs>
          <w:tab w:val="num" w:pos="2334"/>
        </w:tabs>
        <w:ind w:left="2334" w:hanging="360"/>
      </w:pPr>
    </w:lvl>
    <w:lvl w:ilvl="2" w:tplc="0809001B" w:tentative="1">
      <w:start w:val="1"/>
      <w:numFmt w:val="lowerRoman"/>
      <w:lvlText w:val="%3."/>
      <w:lvlJc w:val="right"/>
      <w:pPr>
        <w:tabs>
          <w:tab w:val="num" w:pos="3054"/>
        </w:tabs>
        <w:ind w:left="3054" w:hanging="180"/>
      </w:pPr>
    </w:lvl>
    <w:lvl w:ilvl="3" w:tplc="0809000F" w:tentative="1">
      <w:start w:val="1"/>
      <w:numFmt w:val="decimal"/>
      <w:lvlText w:val="%4."/>
      <w:lvlJc w:val="left"/>
      <w:pPr>
        <w:tabs>
          <w:tab w:val="num" w:pos="3774"/>
        </w:tabs>
        <w:ind w:left="3774" w:hanging="360"/>
      </w:pPr>
    </w:lvl>
    <w:lvl w:ilvl="4" w:tplc="08090019" w:tentative="1">
      <w:start w:val="1"/>
      <w:numFmt w:val="lowerLetter"/>
      <w:lvlText w:val="%5."/>
      <w:lvlJc w:val="left"/>
      <w:pPr>
        <w:tabs>
          <w:tab w:val="num" w:pos="4494"/>
        </w:tabs>
        <w:ind w:left="4494" w:hanging="360"/>
      </w:pPr>
    </w:lvl>
    <w:lvl w:ilvl="5" w:tplc="0809001B" w:tentative="1">
      <w:start w:val="1"/>
      <w:numFmt w:val="lowerRoman"/>
      <w:lvlText w:val="%6."/>
      <w:lvlJc w:val="right"/>
      <w:pPr>
        <w:tabs>
          <w:tab w:val="num" w:pos="5214"/>
        </w:tabs>
        <w:ind w:left="5214" w:hanging="180"/>
      </w:pPr>
    </w:lvl>
    <w:lvl w:ilvl="6" w:tplc="0809000F" w:tentative="1">
      <w:start w:val="1"/>
      <w:numFmt w:val="decimal"/>
      <w:lvlText w:val="%7."/>
      <w:lvlJc w:val="left"/>
      <w:pPr>
        <w:tabs>
          <w:tab w:val="num" w:pos="5934"/>
        </w:tabs>
        <w:ind w:left="5934" w:hanging="360"/>
      </w:pPr>
    </w:lvl>
    <w:lvl w:ilvl="7" w:tplc="08090019" w:tentative="1">
      <w:start w:val="1"/>
      <w:numFmt w:val="lowerLetter"/>
      <w:lvlText w:val="%8."/>
      <w:lvlJc w:val="left"/>
      <w:pPr>
        <w:tabs>
          <w:tab w:val="num" w:pos="6654"/>
        </w:tabs>
        <w:ind w:left="6654" w:hanging="360"/>
      </w:pPr>
    </w:lvl>
    <w:lvl w:ilvl="8" w:tplc="0809001B" w:tentative="1">
      <w:start w:val="1"/>
      <w:numFmt w:val="lowerRoman"/>
      <w:lvlText w:val="%9."/>
      <w:lvlJc w:val="right"/>
      <w:pPr>
        <w:tabs>
          <w:tab w:val="num" w:pos="7374"/>
        </w:tabs>
        <w:ind w:left="7374" w:hanging="180"/>
      </w:pPr>
    </w:lvl>
  </w:abstractNum>
  <w:num w:numId="1">
    <w:abstractNumId w:val="3"/>
  </w:num>
  <w:num w:numId="2">
    <w:abstractNumId w:val="8"/>
  </w:num>
  <w:num w:numId="3">
    <w:abstractNumId w:val="0"/>
  </w:num>
  <w:num w:numId="4">
    <w:abstractNumId w:val="2"/>
  </w:num>
  <w:num w:numId="5">
    <w:abstractNumId w:val="3"/>
  </w:num>
  <w:num w:numId="6">
    <w:abstractNumId w:val="8"/>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11"/>
    <w:lvlOverride w:ilvl="0">
      <w:lvl w:ilvl="0" w:tplc="8C283D3C">
        <w:start w:val="1"/>
        <w:numFmt w:val="decimal"/>
        <w:lvlText w:val="%1."/>
        <w:lvlJc w:val="left"/>
        <w:pPr>
          <w:tabs>
            <w:tab w:val="num" w:pos="1614"/>
          </w:tabs>
          <w:ind w:left="1614" w:hanging="360"/>
        </w:pPr>
        <w:rPr>
          <w:rFonts w:hint="default"/>
          <w:i w:val="0"/>
          <w:sz w:val="20"/>
          <w:szCs w:val="20"/>
        </w:rPr>
      </w:lvl>
    </w:lvlOverride>
  </w:num>
  <w:num w:numId="18">
    <w:abstractNumId w:val="9"/>
  </w:num>
  <w:num w:numId="19">
    <w:abstractNumId w:val="9"/>
    <w:lvlOverride w:ilvl="0">
      <w:lvl w:ilvl="0">
        <w:start w:val="1"/>
        <w:numFmt w:val="decimal"/>
        <w:lvlRestart w:val="0"/>
        <w:lvlText w:val="%1."/>
        <w:lvlJc w:val="left"/>
        <w:pPr>
          <w:tabs>
            <w:tab w:val="num" w:pos="475"/>
          </w:tabs>
          <w:ind w:left="0" w:firstLine="0"/>
        </w:pPr>
        <w:rPr>
          <w:w w:val="100"/>
        </w:rPr>
      </w:lvl>
    </w:lvlOverride>
  </w:num>
  <w:num w:numId="20">
    <w:abstractNumId w:val="9"/>
    <w:lvlOverride w:ilvl="0">
      <w:lvl w:ilvl="0">
        <w:start w:val="1"/>
        <w:numFmt w:val="decimal"/>
        <w:lvlRestart w:val="0"/>
        <w:lvlText w:val="%1."/>
        <w:lvlJc w:val="left"/>
        <w:pPr>
          <w:tabs>
            <w:tab w:val="num" w:pos="475"/>
          </w:tabs>
          <w:ind w:left="0" w:firstLine="0"/>
        </w:pPr>
        <w:rPr>
          <w:w w:val="100"/>
        </w:rPr>
      </w:lvl>
    </w:lvlOverride>
  </w:num>
  <w:num w:numId="21">
    <w:abstractNumId w:val="9"/>
    <w:lvlOverride w:ilvl="0">
      <w:lvl w:ilvl="0">
        <w:start w:val="1"/>
        <w:numFmt w:val="decimal"/>
        <w:lvlRestart w:val="0"/>
        <w:lvlText w:val="%1."/>
        <w:lvlJc w:val="left"/>
        <w:pPr>
          <w:tabs>
            <w:tab w:val="num" w:pos="475"/>
          </w:tabs>
          <w:ind w:left="0" w:firstLine="0"/>
        </w:pPr>
        <w:rPr>
          <w:w w:val="100"/>
        </w:rPr>
      </w:lvl>
    </w:lvlOverride>
  </w:num>
  <w:num w:numId="22">
    <w:abstractNumId w:val="9"/>
    <w:lvlOverride w:ilvl="0">
      <w:lvl w:ilvl="0">
        <w:start w:val="1"/>
        <w:numFmt w:val="decimal"/>
        <w:lvlRestart w:val="0"/>
        <w:lvlText w:val="%1."/>
        <w:lvlJc w:val="left"/>
        <w:pPr>
          <w:tabs>
            <w:tab w:val="num" w:pos="475"/>
          </w:tabs>
          <w:ind w:left="0" w:firstLine="0"/>
        </w:pPr>
        <w:rPr>
          <w:i w:val="0"/>
          <w:iCs/>
          <w:w w:val="100"/>
        </w:rPr>
      </w:lvl>
    </w:lvlOverride>
  </w:num>
  <w:num w:numId="23">
    <w:abstractNumId w:val="1"/>
  </w:num>
  <w:num w:numId="24">
    <w:abstractNumId w:val="1"/>
    <w:lvlOverride w:ilvl="0">
      <w:lvl w:ilvl="0">
        <w:start w:val="1"/>
        <w:numFmt w:val="decimal"/>
        <w:lvlRestart w:val="0"/>
        <w:lvlText w:val="%1."/>
        <w:lvlJc w:val="left"/>
        <w:pPr>
          <w:tabs>
            <w:tab w:val="num" w:pos="475"/>
          </w:tabs>
          <w:ind w:left="0" w:firstLine="0"/>
        </w:pPr>
        <w:rPr>
          <w:i w:val="0"/>
          <w:iCs/>
          <w:w w:val="100"/>
        </w:rPr>
      </w:lvl>
    </w:lvlOverride>
  </w:num>
  <w:num w:numId="25">
    <w:abstractNumId w:val="10"/>
  </w:num>
  <w:num w:numId="26">
    <w:abstractNumId w:val="6"/>
  </w:num>
  <w:num w:numId="27">
    <w:abstractNumId w:val="6"/>
    <w:lvlOverride w:ilvl="0">
      <w:lvl w:ilvl="0">
        <w:start w:val="5"/>
        <w:numFmt w:val="decimal"/>
        <w:lvlRestart w:val="0"/>
        <w:lvlText w:val="%1."/>
        <w:lvlJc w:val="left"/>
        <w:pPr>
          <w:tabs>
            <w:tab w:val="num" w:pos="1742"/>
          </w:tabs>
          <w:ind w:left="1267" w:firstLine="0"/>
        </w:pPr>
        <w:rPr>
          <w:w w:val="100"/>
        </w:rPr>
      </w:lvl>
    </w:lvlOverride>
  </w:num>
  <w:num w:numId="28">
    <w:abstractNumId w:val="7"/>
  </w:num>
  <w:num w:numId="29">
    <w:abstractNumId w:val="7"/>
    <w:lvlOverride w:ilvl="0">
      <w:lvl w:ilvl="0">
        <w:start w:val="6"/>
        <w:numFmt w:val="decimal"/>
        <w:lvlRestart w:val="0"/>
        <w:lvlText w:val="%1."/>
        <w:lvlJc w:val="left"/>
        <w:pPr>
          <w:tabs>
            <w:tab w:val="num" w:pos="1742"/>
          </w:tabs>
          <w:ind w:left="1267" w:firstLine="0"/>
        </w:pPr>
        <w:rPr>
          <w:w w:val="100"/>
        </w:rPr>
      </w:lvl>
    </w:lvlOverride>
  </w:num>
  <w:num w:numId="30">
    <w:abstractNumId w:val="7"/>
    <w:lvlOverride w:ilvl="0">
      <w:lvl w:ilvl="0">
        <w:start w:val="6"/>
        <w:numFmt w:val="decimal"/>
        <w:lvlRestart w:val="0"/>
        <w:lvlText w:val="%1."/>
        <w:lvlJc w:val="left"/>
        <w:pPr>
          <w:tabs>
            <w:tab w:val="num" w:pos="1742"/>
          </w:tabs>
          <w:ind w:left="1267" w:firstLine="0"/>
        </w:pPr>
        <w:rPr>
          <w:w w:val="100"/>
        </w:rPr>
      </w:lvl>
    </w:lvlOverride>
  </w:num>
  <w:num w:numId="31">
    <w:abstractNumId w:val="7"/>
    <w:lvlOverride w:ilvl="0">
      <w:lvl w:ilvl="0">
        <w:start w:val="6"/>
        <w:numFmt w:val="decimal"/>
        <w:lvlRestart w:val="0"/>
        <w:lvlText w:val="%1."/>
        <w:lvlJc w:val="left"/>
        <w:pPr>
          <w:tabs>
            <w:tab w:val="num" w:pos="1742"/>
          </w:tabs>
          <w:ind w:left="1267" w:firstLine="0"/>
        </w:pPr>
        <w:rPr>
          <w:w w:val="100"/>
        </w:rPr>
      </w:lvl>
    </w:lvlOverride>
  </w:num>
  <w:num w:numId="32">
    <w:abstractNumId w:val="7"/>
    <w:lvlOverride w:ilvl="0">
      <w:lvl w:ilvl="0">
        <w:start w:val="6"/>
        <w:numFmt w:val="decimal"/>
        <w:lvlRestart w:val="0"/>
        <w:lvlText w:val="%1."/>
        <w:lvlJc w:val="left"/>
        <w:pPr>
          <w:tabs>
            <w:tab w:val="num" w:pos="1742"/>
          </w:tabs>
          <w:ind w:left="1267" w:firstLine="0"/>
        </w:pPr>
        <w:rPr>
          <w:w w:val="100"/>
        </w:rPr>
      </w:lvl>
    </w:lvlOverride>
  </w:num>
  <w:num w:numId="33">
    <w:abstractNumId w:val="7"/>
    <w:lvlOverride w:ilvl="0">
      <w:lvl w:ilvl="0">
        <w:start w:val="6"/>
        <w:numFmt w:val="decimal"/>
        <w:lvlRestart w:val="0"/>
        <w:lvlText w:val="%1."/>
        <w:lvlJc w:val="left"/>
        <w:pPr>
          <w:tabs>
            <w:tab w:val="num" w:pos="1742"/>
          </w:tabs>
          <w:ind w:left="1267" w:firstLine="0"/>
        </w:pPr>
        <w:rPr>
          <w:w w:val="100"/>
        </w:rPr>
      </w:lvl>
    </w:lvlOverride>
  </w:num>
  <w:num w:numId="34">
    <w:abstractNumId w:val="7"/>
    <w:lvlOverride w:ilvl="0">
      <w:lvl w:ilvl="0">
        <w:start w:val="6"/>
        <w:numFmt w:val="decimal"/>
        <w:lvlRestart w:val="0"/>
        <w:lvlText w:val="%1."/>
        <w:lvlJc w:val="left"/>
        <w:pPr>
          <w:tabs>
            <w:tab w:val="num" w:pos="1742"/>
          </w:tabs>
          <w:ind w:left="1267" w:firstLine="0"/>
        </w:pPr>
        <w:rPr>
          <w:w w:val="100"/>
        </w:rPr>
      </w:lvl>
    </w:lvlOverride>
  </w:num>
  <w:num w:numId="35">
    <w:abstractNumId w:val="7"/>
    <w:lvlOverride w:ilvl="0">
      <w:lvl w:ilvl="0">
        <w:start w:val="6"/>
        <w:numFmt w:val="decimal"/>
        <w:lvlRestart w:val="0"/>
        <w:lvlText w:val="%1."/>
        <w:lvlJc w:val="left"/>
        <w:pPr>
          <w:tabs>
            <w:tab w:val="num" w:pos="1742"/>
          </w:tabs>
          <w:ind w:left="1267" w:firstLine="0"/>
        </w:pPr>
        <w:rPr>
          <w:w w:val="100"/>
        </w:rPr>
      </w:lvl>
    </w:lvlOverride>
  </w:num>
  <w:num w:numId="36">
    <w:abstractNumId w:val="7"/>
    <w:lvlOverride w:ilvl="0">
      <w:lvl w:ilvl="0">
        <w:start w:val="6"/>
        <w:numFmt w:val="decimal"/>
        <w:lvlRestart w:val="0"/>
        <w:lvlText w:val="%1."/>
        <w:lvlJc w:val="left"/>
        <w:pPr>
          <w:tabs>
            <w:tab w:val="num" w:pos="1742"/>
          </w:tabs>
          <w:ind w:left="1267" w:firstLine="0"/>
        </w:pPr>
        <w:rPr>
          <w:w w:val="100"/>
        </w:rPr>
      </w:lvl>
    </w:lvlOverride>
  </w:num>
  <w:num w:numId="37">
    <w:abstractNumId w:val="7"/>
    <w:lvlOverride w:ilvl="0">
      <w:lvl w:ilvl="0">
        <w:start w:val="6"/>
        <w:numFmt w:val="decimal"/>
        <w:lvlRestart w:val="0"/>
        <w:lvlText w:val="%1."/>
        <w:lvlJc w:val="left"/>
        <w:pPr>
          <w:tabs>
            <w:tab w:val="num" w:pos="1742"/>
          </w:tabs>
          <w:ind w:left="1267" w:firstLine="0"/>
        </w:pPr>
        <w:rPr>
          <w:w w:val="100"/>
        </w:rPr>
      </w:lvl>
    </w:lvlOverride>
  </w:num>
  <w:num w:numId="38">
    <w:abstractNumId w:val="7"/>
    <w:lvlOverride w:ilvl="0">
      <w:lvl w:ilvl="0">
        <w:start w:val="6"/>
        <w:numFmt w:val="decimal"/>
        <w:lvlRestart w:val="0"/>
        <w:lvlText w:val="%1."/>
        <w:lvlJc w:val="left"/>
        <w:pPr>
          <w:tabs>
            <w:tab w:val="num" w:pos="1742"/>
          </w:tabs>
          <w:ind w:left="1267" w:firstLine="0"/>
        </w:pPr>
        <w:rPr>
          <w:w w:val="100"/>
        </w:rPr>
      </w:lvl>
    </w:lvlOverride>
  </w:num>
  <w:num w:numId="39">
    <w:abstractNumId w:val="7"/>
    <w:lvlOverride w:ilvl="0">
      <w:lvl w:ilvl="0">
        <w:start w:val="6"/>
        <w:numFmt w:val="decimal"/>
        <w:lvlRestart w:val="0"/>
        <w:lvlText w:val="%1."/>
        <w:lvlJc w:val="left"/>
        <w:pPr>
          <w:tabs>
            <w:tab w:val="num" w:pos="1742"/>
          </w:tabs>
          <w:ind w:left="1267" w:firstLine="0"/>
        </w:pPr>
        <w:rPr>
          <w:w w:val="100"/>
        </w:rPr>
      </w:lvl>
    </w:lvlOverride>
  </w:num>
  <w:num w:numId="40">
    <w:abstractNumId w:val="7"/>
    <w:lvlOverride w:ilvl="0">
      <w:lvl w:ilvl="0">
        <w:start w:val="6"/>
        <w:numFmt w:val="decimal"/>
        <w:lvlRestart w:val="0"/>
        <w:lvlText w:val="%1."/>
        <w:lvlJc w:val="left"/>
        <w:pPr>
          <w:tabs>
            <w:tab w:val="num" w:pos="1742"/>
          </w:tabs>
          <w:ind w:left="1267" w:firstLine="0"/>
        </w:pPr>
        <w:rPr>
          <w:w w:val="100"/>
        </w:rPr>
      </w:lvl>
    </w:lvlOverride>
  </w:num>
  <w:num w:numId="41">
    <w:abstractNumId w:val="11"/>
  </w:num>
  <w:num w:numId="42">
    <w:abstractNumId w:val="5"/>
  </w:num>
  <w:num w:numId="43">
    <w:abstractNumId w:val="4"/>
  </w:num>
  <w:numIdMacAtCleanup w:val="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land Sule">
    <w15:presenceInfo w15:providerId="None" w15:userId="Roland Su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defaultTabStop w:val="475"/>
  <w:doNotHyphenateCaps/>
  <w:evenAndOddHeaders/>
  <w:characterSpacingControl w:val="doNotCompress"/>
  <w:hdrShapeDefaults>
    <o:shapedefaults v:ext="edit" spidmax="12289"/>
  </w:hdrShapeDefault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2240*"/>
    <w:docVar w:name="CreationDt" w:val="26/07/2017 12:50 PM"/>
    <w:docVar w:name="DocCategory" w:val="Doc"/>
    <w:docVar w:name="DocType" w:val="Final"/>
    <w:docVar w:name="DutyStation" w:val="New York"/>
    <w:docVar w:name="FooterJN" w:val="17-12240"/>
    <w:docVar w:name="jobn" w:val="17-12240 (F)"/>
    <w:docVar w:name="jobnDT" w:val="17-12240 (F)   260717"/>
    <w:docVar w:name="jobnDTDT" w:val="17-12240 (F)   260717   260717"/>
    <w:docVar w:name="JobNo" w:val="1712240F"/>
    <w:docVar w:name="JobNo2" w:val="1722189F"/>
    <w:docVar w:name="LocalDrive" w:val="0"/>
    <w:docVar w:name="OandT" w:val=" "/>
    <w:docVar w:name="sss1" w:val="ST/IC/2017/23"/>
    <w:docVar w:name="sss2" w:val="-"/>
    <w:docVar w:name="Symbol1" w:val="ST/IC/2017/23"/>
    <w:docVar w:name="Symbol2" w:val="-"/>
  </w:docVars>
  <w:rsids>
    <w:rsidRoot w:val="00532A8C"/>
    <w:rsid w:val="00011C08"/>
    <w:rsid w:val="0005390A"/>
    <w:rsid w:val="00117277"/>
    <w:rsid w:val="00122E4A"/>
    <w:rsid w:val="00161DA7"/>
    <w:rsid w:val="00231779"/>
    <w:rsid w:val="002D5D5F"/>
    <w:rsid w:val="00300ADA"/>
    <w:rsid w:val="003301A2"/>
    <w:rsid w:val="003866A5"/>
    <w:rsid w:val="003A3559"/>
    <w:rsid w:val="00400EF7"/>
    <w:rsid w:val="004175ED"/>
    <w:rsid w:val="00473B9A"/>
    <w:rsid w:val="004801FF"/>
    <w:rsid w:val="004C1A25"/>
    <w:rsid w:val="0052381E"/>
    <w:rsid w:val="00532A8C"/>
    <w:rsid w:val="00566441"/>
    <w:rsid w:val="005E4D3D"/>
    <w:rsid w:val="005F7C8C"/>
    <w:rsid w:val="006556A4"/>
    <w:rsid w:val="0068653F"/>
    <w:rsid w:val="00733FE0"/>
    <w:rsid w:val="00771C9E"/>
    <w:rsid w:val="007A7687"/>
    <w:rsid w:val="007D6C92"/>
    <w:rsid w:val="00812413"/>
    <w:rsid w:val="008154EF"/>
    <w:rsid w:val="00843E85"/>
    <w:rsid w:val="008B5796"/>
    <w:rsid w:val="008D0AEE"/>
    <w:rsid w:val="00993CB7"/>
    <w:rsid w:val="00A0759E"/>
    <w:rsid w:val="00AD5F2F"/>
    <w:rsid w:val="00AF7558"/>
    <w:rsid w:val="00C16C7C"/>
    <w:rsid w:val="00C6585B"/>
    <w:rsid w:val="00CB06FB"/>
    <w:rsid w:val="00CE2DFA"/>
    <w:rsid w:val="00DC0055"/>
    <w:rsid w:val="00E343A6"/>
    <w:rsid w:val="00E7105F"/>
    <w:rsid w:val="00E96DAB"/>
    <w:rsid w:val="00EE27F4"/>
    <w:rsid w:val="00EF2DFA"/>
    <w:rsid w:val="00F12F97"/>
    <w:rsid w:val="00F73093"/>
    <w:rsid w:val="00FA3D05"/>
    <w:rsid w:val="00FE34FC"/>
    <w:rsid w:val="00FF3A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10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C7C"/>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C16C7C"/>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C16C7C"/>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C16C7C"/>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C16C7C"/>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C16C7C"/>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C16C7C"/>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C16C7C"/>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16C7C"/>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C16C7C"/>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C16C7C"/>
    <w:pPr>
      <w:keepNext/>
      <w:keepLines/>
      <w:suppressAutoHyphens/>
      <w:spacing w:line="270" w:lineRule="exact"/>
      <w:outlineLvl w:val="0"/>
    </w:pPr>
    <w:rPr>
      <w:b/>
      <w:sz w:val="24"/>
    </w:rPr>
  </w:style>
  <w:style w:type="paragraph" w:customStyle="1" w:styleId="HCH">
    <w:name w:val="_ H _CH"/>
    <w:basedOn w:val="H1"/>
    <w:next w:val="SingleTxt"/>
    <w:qFormat/>
    <w:rsid w:val="00C16C7C"/>
    <w:pPr>
      <w:spacing w:line="300" w:lineRule="exact"/>
    </w:pPr>
    <w:rPr>
      <w:spacing w:val="-2"/>
      <w:sz w:val="28"/>
    </w:rPr>
  </w:style>
  <w:style w:type="paragraph" w:customStyle="1" w:styleId="HM">
    <w:name w:val="_ H __M"/>
    <w:basedOn w:val="HCH"/>
    <w:next w:val="Normal"/>
    <w:qFormat/>
    <w:rsid w:val="00C16C7C"/>
    <w:pPr>
      <w:spacing w:line="360" w:lineRule="exact"/>
    </w:pPr>
    <w:rPr>
      <w:spacing w:val="-3"/>
      <w:w w:val="99"/>
      <w:sz w:val="34"/>
    </w:rPr>
  </w:style>
  <w:style w:type="paragraph" w:customStyle="1" w:styleId="H23">
    <w:name w:val="_ H_2/3"/>
    <w:basedOn w:val="H1"/>
    <w:next w:val="SingleTxt"/>
    <w:qFormat/>
    <w:rsid w:val="00C16C7C"/>
    <w:pPr>
      <w:spacing w:line="240" w:lineRule="exact"/>
      <w:outlineLvl w:val="1"/>
    </w:pPr>
    <w:rPr>
      <w:spacing w:val="2"/>
      <w:sz w:val="20"/>
    </w:rPr>
  </w:style>
  <w:style w:type="paragraph" w:customStyle="1" w:styleId="H4">
    <w:name w:val="_ H_4"/>
    <w:basedOn w:val="Normal"/>
    <w:next w:val="SingleTxt"/>
    <w:qFormat/>
    <w:rsid w:val="00C16C7C"/>
    <w:pPr>
      <w:keepNext/>
      <w:keepLines/>
      <w:tabs>
        <w:tab w:val="right" w:pos="360"/>
      </w:tabs>
      <w:suppressAutoHyphens/>
      <w:outlineLvl w:val="3"/>
    </w:pPr>
    <w:rPr>
      <w:i/>
      <w:spacing w:val="3"/>
    </w:rPr>
  </w:style>
  <w:style w:type="paragraph" w:customStyle="1" w:styleId="H56">
    <w:name w:val="_ H_5/6"/>
    <w:basedOn w:val="Normal"/>
    <w:next w:val="Normal"/>
    <w:qFormat/>
    <w:rsid w:val="00C16C7C"/>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C16C7C"/>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C16C7C"/>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C16C7C"/>
    <w:pPr>
      <w:spacing w:line="540" w:lineRule="exact"/>
    </w:pPr>
    <w:rPr>
      <w:spacing w:val="-8"/>
      <w:w w:val="96"/>
      <w:sz w:val="57"/>
    </w:rPr>
  </w:style>
  <w:style w:type="paragraph" w:customStyle="1" w:styleId="SS">
    <w:name w:val="__S_S"/>
    <w:basedOn w:val="HCH"/>
    <w:next w:val="Normal"/>
    <w:qFormat/>
    <w:rsid w:val="00C16C7C"/>
    <w:pPr>
      <w:ind w:left="1267" w:right="1267"/>
    </w:pPr>
  </w:style>
  <w:style w:type="paragraph" w:customStyle="1" w:styleId="SingleTxt">
    <w:name w:val="__Single Txt"/>
    <w:basedOn w:val="Normal"/>
    <w:qFormat/>
    <w:rsid w:val="00C16C7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C16C7C"/>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C16C7C"/>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C16C7C"/>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C16C7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16C7C"/>
    <w:rPr>
      <w:rFonts w:ascii="Tahoma" w:hAnsi="Tahoma" w:cs="Tahoma"/>
      <w:spacing w:val="4"/>
      <w:w w:val="103"/>
      <w:kern w:val="14"/>
      <w:sz w:val="16"/>
      <w:szCs w:val="16"/>
      <w:lang w:val="fr-CA"/>
    </w:rPr>
  </w:style>
  <w:style w:type="paragraph" w:customStyle="1" w:styleId="Bullet1">
    <w:name w:val="Bullet 1"/>
    <w:basedOn w:val="Normal"/>
    <w:qFormat/>
    <w:rsid w:val="00C16C7C"/>
    <w:pPr>
      <w:numPr>
        <w:numId w:val="5"/>
      </w:numPr>
      <w:spacing w:after="120"/>
      <w:ind w:right="1267"/>
      <w:jc w:val="both"/>
    </w:pPr>
  </w:style>
  <w:style w:type="paragraph" w:customStyle="1" w:styleId="Bullet2">
    <w:name w:val="Bullet 2"/>
    <w:basedOn w:val="Normal"/>
    <w:qFormat/>
    <w:rsid w:val="00C16C7C"/>
    <w:pPr>
      <w:numPr>
        <w:numId w:val="6"/>
      </w:numPr>
      <w:spacing w:after="120"/>
      <w:ind w:right="1264"/>
      <w:jc w:val="both"/>
    </w:pPr>
  </w:style>
  <w:style w:type="paragraph" w:customStyle="1" w:styleId="Bullet3">
    <w:name w:val="Bullet 3"/>
    <w:basedOn w:val="SingleTxt"/>
    <w:qFormat/>
    <w:rsid w:val="00C16C7C"/>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16C7C"/>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C16C7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C16C7C"/>
    <w:pPr>
      <w:spacing w:line="210" w:lineRule="exact"/>
    </w:pPr>
    <w:rPr>
      <w:sz w:val="17"/>
      <w:szCs w:val="20"/>
    </w:rPr>
  </w:style>
  <w:style w:type="character" w:customStyle="1" w:styleId="EndnoteTextChar">
    <w:name w:val="Endnote Text Char"/>
    <w:link w:val="EndnoteText"/>
    <w:uiPriority w:val="99"/>
    <w:semiHidden/>
    <w:rsid w:val="00C16C7C"/>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C16C7C"/>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C16C7C"/>
    <w:rPr>
      <w:rFonts w:ascii="Times New Roman" w:hAnsi="Times New Roman" w:cs="Times New Roman"/>
      <w:b/>
      <w:spacing w:val="3"/>
      <w:w w:val="105"/>
      <w:sz w:val="17"/>
      <w:lang w:val="en-US"/>
    </w:rPr>
  </w:style>
  <w:style w:type="character" w:styleId="FootnoteReference">
    <w:name w:val="footnote reference"/>
    <w:uiPriority w:val="99"/>
    <w:semiHidden/>
    <w:rsid w:val="00C16C7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C16C7C"/>
    <w:pPr>
      <w:spacing w:line="210" w:lineRule="exact"/>
    </w:pPr>
    <w:rPr>
      <w:sz w:val="17"/>
      <w:szCs w:val="20"/>
    </w:rPr>
  </w:style>
  <w:style w:type="character" w:customStyle="1" w:styleId="FootnoteTextChar">
    <w:name w:val="Footnote Text Char"/>
    <w:link w:val="FootnoteText"/>
    <w:uiPriority w:val="99"/>
    <w:rsid w:val="00C16C7C"/>
    <w:rPr>
      <w:rFonts w:ascii="Times New Roman" w:hAnsi="Times New Roman" w:cs="Times New Roman"/>
      <w:spacing w:val="4"/>
      <w:w w:val="103"/>
      <w:kern w:val="14"/>
      <w:sz w:val="17"/>
      <w:szCs w:val="20"/>
      <w:lang w:val="fr-CA"/>
    </w:rPr>
  </w:style>
  <w:style w:type="paragraph" w:styleId="Header">
    <w:name w:val="header"/>
    <w:link w:val="HeaderChar"/>
    <w:uiPriority w:val="99"/>
    <w:rsid w:val="00C16C7C"/>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C16C7C"/>
    <w:rPr>
      <w:rFonts w:ascii="Times New Roman" w:hAnsi="Times New Roman" w:cs="Times New Roman"/>
      <w:spacing w:val="3"/>
      <w:w w:val="105"/>
      <w:sz w:val="17"/>
      <w:lang w:val="en-US"/>
    </w:rPr>
  </w:style>
  <w:style w:type="character" w:customStyle="1" w:styleId="Heading1Char">
    <w:name w:val="Heading 1 Char"/>
    <w:link w:val="Heading1"/>
    <w:uiPriority w:val="9"/>
    <w:rsid w:val="00C16C7C"/>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C16C7C"/>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C16C7C"/>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C16C7C"/>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C16C7C"/>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C16C7C"/>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C16C7C"/>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C16C7C"/>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C16C7C"/>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C16C7C"/>
    <w:rPr>
      <w:sz w:val="14"/>
    </w:rPr>
  </w:style>
  <w:style w:type="paragraph" w:styleId="ListParagraph">
    <w:name w:val="List Paragraph"/>
    <w:basedOn w:val="Normal"/>
    <w:uiPriority w:val="34"/>
    <w:rsid w:val="00C16C7C"/>
    <w:pPr>
      <w:ind w:left="720"/>
      <w:contextualSpacing/>
    </w:pPr>
  </w:style>
  <w:style w:type="paragraph" w:styleId="NoSpacing">
    <w:name w:val="No Spacing"/>
    <w:uiPriority w:val="1"/>
    <w:rsid w:val="00C16C7C"/>
    <w:pPr>
      <w:spacing w:after="0" w:line="240" w:lineRule="auto"/>
    </w:pPr>
    <w:rPr>
      <w:rFonts w:ascii="Calibri" w:hAnsi="Calibri" w:cs="Times New Roman"/>
      <w:lang w:val="en-US"/>
    </w:rPr>
  </w:style>
  <w:style w:type="paragraph" w:customStyle="1" w:styleId="Original">
    <w:name w:val="Original"/>
    <w:next w:val="Normal"/>
    <w:autoRedefine/>
    <w:qFormat/>
    <w:rsid w:val="00C16C7C"/>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C16C7C"/>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C16C7C"/>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C16C7C"/>
    <w:pPr>
      <w:tabs>
        <w:tab w:val="right" w:pos="9965"/>
      </w:tabs>
      <w:spacing w:line="210" w:lineRule="exact"/>
    </w:pPr>
    <w:rPr>
      <w:spacing w:val="5"/>
      <w:w w:val="104"/>
      <w:sz w:val="17"/>
    </w:rPr>
  </w:style>
  <w:style w:type="paragraph" w:customStyle="1" w:styleId="SmallX">
    <w:name w:val="SmallX"/>
    <w:basedOn w:val="Small"/>
    <w:next w:val="Normal"/>
    <w:qFormat/>
    <w:rsid w:val="00C16C7C"/>
    <w:pPr>
      <w:spacing w:line="180" w:lineRule="exact"/>
      <w:jc w:val="right"/>
    </w:pPr>
    <w:rPr>
      <w:spacing w:val="6"/>
      <w:w w:val="106"/>
      <w:sz w:val="14"/>
    </w:rPr>
  </w:style>
  <w:style w:type="character" w:styleId="Strong">
    <w:name w:val="Strong"/>
    <w:uiPriority w:val="22"/>
    <w:rsid w:val="00C16C7C"/>
    <w:rPr>
      <w:b/>
      <w:bCs/>
    </w:rPr>
  </w:style>
  <w:style w:type="paragraph" w:customStyle="1" w:styleId="Style1">
    <w:name w:val="Style1"/>
    <w:basedOn w:val="Normal"/>
    <w:qFormat/>
    <w:rsid w:val="00C16C7C"/>
  </w:style>
  <w:style w:type="paragraph" w:customStyle="1" w:styleId="Style2">
    <w:name w:val="Style2"/>
    <w:basedOn w:val="Normal"/>
    <w:autoRedefine/>
    <w:qFormat/>
    <w:rsid w:val="00C16C7C"/>
  </w:style>
  <w:style w:type="paragraph" w:customStyle="1" w:styleId="TitleHCH">
    <w:name w:val="Title_H_CH"/>
    <w:basedOn w:val="HCH"/>
    <w:next w:val="SingleTxt"/>
    <w:qFormat/>
    <w:rsid w:val="00C16C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16C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C16C7C"/>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117277"/>
    <w:rPr>
      <w:sz w:val="16"/>
      <w:szCs w:val="16"/>
    </w:rPr>
  </w:style>
  <w:style w:type="paragraph" w:styleId="CommentText">
    <w:name w:val="annotation text"/>
    <w:basedOn w:val="Normal"/>
    <w:link w:val="CommentTextChar"/>
    <w:uiPriority w:val="99"/>
    <w:semiHidden/>
    <w:unhideWhenUsed/>
    <w:rsid w:val="00117277"/>
    <w:pPr>
      <w:spacing w:line="240" w:lineRule="auto"/>
    </w:pPr>
    <w:rPr>
      <w:szCs w:val="20"/>
    </w:rPr>
  </w:style>
  <w:style w:type="character" w:customStyle="1" w:styleId="CommentTextChar">
    <w:name w:val="Comment Text Char"/>
    <w:basedOn w:val="DefaultParagraphFont"/>
    <w:link w:val="CommentText"/>
    <w:uiPriority w:val="99"/>
    <w:semiHidden/>
    <w:rsid w:val="00117277"/>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117277"/>
    <w:rPr>
      <w:b/>
      <w:bCs/>
    </w:rPr>
  </w:style>
  <w:style w:type="character" w:customStyle="1" w:styleId="CommentSubjectChar">
    <w:name w:val="Comment Subject Char"/>
    <w:basedOn w:val="CommentTextChar"/>
    <w:link w:val="CommentSubject"/>
    <w:uiPriority w:val="99"/>
    <w:semiHidden/>
    <w:rsid w:val="00117277"/>
    <w:rPr>
      <w:rFonts w:ascii="Times New Roman" w:hAnsi="Times New Roman" w:cs="Times New Roman"/>
      <w:b/>
      <w:bCs/>
      <w:spacing w:val="4"/>
      <w:w w:val="103"/>
      <w:kern w:val="14"/>
      <w:sz w:val="20"/>
      <w:szCs w:val="20"/>
      <w:lang w:val="fr-CA"/>
    </w:rPr>
  </w:style>
  <w:style w:type="character" w:styleId="Hyperlink">
    <w:name w:val="Hyperlink"/>
    <w:basedOn w:val="DefaultParagraphFont"/>
    <w:uiPriority w:val="99"/>
    <w:unhideWhenUsed/>
    <w:rsid w:val="007D6C92"/>
    <w:rPr>
      <w:color w:val="0000FF" w:themeColor="hyperlink"/>
      <w:u w:val="none"/>
    </w:rPr>
  </w:style>
  <w:style w:type="character" w:styleId="FollowedHyperlink">
    <w:name w:val="FollowedHyperlink"/>
    <w:basedOn w:val="DefaultParagraphFont"/>
    <w:uiPriority w:val="99"/>
    <w:semiHidden/>
    <w:unhideWhenUsed/>
    <w:rsid w:val="007D6C92"/>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C7C"/>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C16C7C"/>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C16C7C"/>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C16C7C"/>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C16C7C"/>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C16C7C"/>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C16C7C"/>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C16C7C"/>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16C7C"/>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C16C7C"/>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C16C7C"/>
    <w:pPr>
      <w:keepNext/>
      <w:keepLines/>
      <w:suppressAutoHyphens/>
      <w:spacing w:line="270" w:lineRule="exact"/>
      <w:outlineLvl w:val="0"/>
    </w:pPr>
    <w:rPr>
      <w:b/>
      <w:sz w:val="24"/>
    </w:rPr>
  </w:style>
  <w:style w:type="paragraph" w:customStyle="1" w:styleId="HCH">
    <w:name w:val="_ H _CH"/>
    <w:basedOn w:val="H1"/>
    <w:next w:val="SingleTxt"/>
    <w:qFormat/>
    <w:rsid w:val="00C16C7C"/>
    <w:pPr>
      <w:spacing w:line="300" w:lineRule="exact"/>
    </w:pPr>
    <w:rPr>
      <w:spacing w:val="-2"/>
      <w:sz w:val="28"/>
    </w:rPr>
  </w:style>
  <w:style w:type="paragraph" w:customStyle="1" w:styleId="HM">
    <w:name w:val="_ H __M"/>
    <w:basedOn w:val="HCH"/>
    <w:next w:val="Normal"/>
    <w:qFormat/>
    <w:rsid w:val="00C16C7C"/>
    <w:pPr>
      <w:spacing w:line="360" w:lineRule="exact"/>
    </w:pPr>
    <w:rPr>
      <w:spacing w:val="-3"/>
      <w:w w:val="99"/>
      <w:sz w:val="34"/>
    </w:rPr>
  </w:style>
  <w:style w:type="paragraph" w:customStyle="1" w:styleId="H23">
    <w:name w:val="_ H_2/3"/>
    <w:basedOn w:val="H1"/>
    <w:next w:val="SingleTxt"/>
    <w:qFormat/>
    <w:rsid w:val="00C16C7C"/>
    <w:pPr>
      <w:spacing w:line="240" w:lineRule="exact"/>
      <w:outlineLvl w:val="1"/>
    </w:pPr>
    <w:rPr>
      <w:spacing w:val="2"/>
      <w:sz w:val="20"/>
    </w:rPr>
  </w:style>
  <w:style w:type="paragraph" w:customStyle="1" w:styleId="H4">
    <w:name w:val="_ H_4"/>
    <w:basedOn w:val="Normal"/>
    <w:next w:val="SingleTxt"/>
    <w:qFormat/>
    <w:rsid w:val="00C16C7C"/>
    <w:pPr>
      <w:keepNext/>
      <w:keepLines/>
      <w:tabs>
        <w:tab w:val="right" w:pos="360"/>
      </w:tabs>
      <w:suppressAutoHyphens/>
      <w:outlineLvl w:val="3"/>
    </w:pPr>
    <w:rPr>
      <w:i/>
      <w:spacing w:val="3"/>
    </w:rPr>
  </w:style>
  <w:style w:type="paragraph" w:customStyle="1" w:styleId="H56">
    <w:name w:val="_ H_5/6"/>
    <w:basedOn w:val="Normal"/>
    <w:next w:val="Normal"/>
    <w:qFormat/>
    <w:rsid w:val="00C16C7C"/>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C16C7C"/>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C16C7C"/>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C16C7C"/>
    <w:pPr>
      <w:spacing w:line="540" w:lineRule="exact"/>
    </w:pPr>
    <w:rPr>
      <w:spacing w:val="-8"/>
      <w:w w:val="96"/>
      <w:sz w:val="57"/>
    </w:rPr>
  </w:style>
  <w:style w:type="paragraph" w:customStyle="1" w:styleId="SS">
    <w:name w:val="__S_S"/>
    <w:basedOn w:val="HCH"/>
    <w:next w:val="Normal"/>
    <w:qFormat/>
    <w:rsid w:val="00C16C7C"/>
    <w:pPr>
      <w:ind w:left="1267" w:right="1267"/>
    </w:pPr>
  </w:style>
  <w:style w:type="paragraph" w:customStyle="1" w:styleId="SingleTxt">
    <w:name w:val="__Single Txt"/>
    <w:basedOn w:val="Normal"/>
    <w:qFormat/>
    <w:rsid w:val="00C16C7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C16C7C"/>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C16C7C"/>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C16C7C"/>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C16C7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16C7C"/>
    <w:rPr>
      <w:rFonts w:ascii="Tahoma" w:hAnsi="Tahoma" w:cs="Tahoma"/>
      <w:spacing w:val="4"/>
      <w:w w:val="103"/>
      <w:kern w:val="14"/>
      <w:sz w:val="16"/>
      <w:szCs w:val="16"/>
      <w:lang w:val="fr-CA"/>
    </w:rPr>
  </w:style>
  <w:style w:type="paragraph" w:customStyle="1" w:styleId="Bullet1">
    <w:name w:val="Bullet 1"/>
    <w:basedOn w:val="Normal"/>
    <w:qFormat/>
    <w:rsid w:val="00C16C7C"/>
    <w:pPr>
      <w:numPr>
        <w:numId w:val="5"/>
      </w:numPr>
      <w:spacing w:after="120"/>
      <w:ind w:right="1267"/>
      <w:jc w:val="both"/>
    </w:pPr>
  </w:style>
  <w:style w:type="paragraph" w:customStyle="1" w:styleId="Bullet2">
    <w:name w:val="Bullet 2"/>
    <w:basedOn w:val="Normal"/>
    <w:qFormat/>
    <w:rsid w:val="00C16C7C"/>
    <w:pPr>
      <w:numPr>
        <w:numId w:val="6"/>
      </w:numPr>
      <w:spacing w:after="120"/>
      <w:ind w:right="1264"/>
      <w:jc w:val="both"/>
    </w:pPr>
  </w:style>
  <w:style w:type="paragraph" w:customStyle="1" w:styleId="Bullet3">
    <w:name w:val="Bullet 3"/>
    <w:basedOn w:val="SingleTxt"/>
    <w:qFormat/>
    <w:rsid w:val="00C16C7C"/>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16C7C"/>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C16C7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C16C7C"/>
    <w:pPr>
      <w:spacing w:line="210" w:lineRule="exact"/>
    </w:pPr>
    <w:rPr>
      <w:sz w:val="17"/>
      <w:szCs w:val="20"/>
    </w:rPr>
  </w:style>
  <w:style w:type="character" w:customStyle="1" w:styleId="EndnoteTextChar">
    <w:name w:val="Endnote Text Char"/>
    <w:link w:val="EndnoteText"/>
    <w:uiPriority w:val="99"/>
    <w:semiHidden/>
    <w:rsid w:val="00C16C7C"/>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C16C7C"/>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C16C7C"/>
    <w:rPr>
      <w:rFonts w:ascii="Times New Roman" w:hAnsi="Times New Roman" w:cs="Times New Roman"/>
      <w:b/>
      <w:spacing w:val="3"/>
      <w:w w:val="105"/>
      <w:sz w:val="17"/>
      <w:lang w:val="en-US"/>
    </w:rPr>
  </w:style>
  <w:style w:type="character" w:styleId="FootnoteReference">
    <w:name w:val="footnote reference"/>
    <w:uiPriority w:val="99"/>
    <w:semiHidden/>
    <w:rsid w:val="00C16C7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C16C7C"/>
    <w:pPr>
      <w:spacing w:line="210" w:lineRule="exact"/>
    </w:pPr>
    <w:rPr>
      <w:sz w:val="17"/>
      <w:szCs w:val="20"/>
    </w:rPr>
  </w:style>
  <w:style w:type="character" w:customStyle="1" w:styleId="FootnoteTextChar">
    <w:name w:val="Footnote Text Char"/>
    <w:link w:val="FootnoteText"/>
    <w:uiPriority w:val="99"/>
    <w:rsid w:val="00C16C7C"/>
    <w:rPr>
      <w:rFonts w:ascii="Times New Roman" w:hAnsi="Times New Roman" w:cs="Times New Roman"/>
      <w:spacing w:val="4"/>
      <w:w w:val="103"/>
      <w:kern w:val="14"/>
      <w:sz w:val="17"/>
      <w:szCs w:val="20"/>
      <w:lang w:val="fr-CA"/>
    </w:rPr>
  </w:style>
  <w:style w:type="paragraph" w:styleId="Header">
    <w:name w:val="header"/>
    <w:link w:val="HeaderChar"/>
    <w:uiPriority w:val="99"/>
    <w:rsid w:val="00C16C7C"/>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C16C7C"/>
    <w:rPr>
      <w:rFonts w:ascii="Times New Roman" w:hAnsi="Times New Roman" w:cs="Times New Roman"/>
      <w:spacing w:val="3"/>
      <w:w w:val="105"/>
      <w:sz w:val="17"/>
      <w:lang w:val="en-US"/>
    </w:rPr>
  </w:style>
  <w:style w:type="character" w:customStyle="1" w:styleId="Heading1Char">
    <w:name w:val="Heading 1 Char"/>
    <w:link w:val="Heading1"/>
    <w:uiPriority w:val="9"/>
    <w:rsid w:val="00C16C7C"/>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C16C7C"/>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C16C7C"/>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C16C7C"/>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C16C7C"/>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C16C7C"/>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C16C7C"/>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C16C7C"/>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C16C7C"/>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C16C7C"/>
    <w:rPr>
      <w:sz w:val="14"/>
    </w:rPr>
  </w:style>
  <w:style w:type="paragraph" w:styleId="ListParagraph">
    <w:name w:val="List Paragraph"/>
    <w:basedOn w:val="Normal"/>
    <w:uiPriority w:val="34"/>
    <w:rsid w:val="00C16C7C"/>
    <w:pPr>
      <w:ind w:left="720"/>
      <w:contextualSpacing/>
    </w:pPr>
  </w:style>
  <w:style w:type="paragraph" w:styleId="NoSpacing">
    <w:name w:val="No Spacing"/>
    <w:uiPriority w:val="1"/>
    <w:rsid w:val="00C16C7C"/>
    <w:pPr>
      <w:spacing w:after="0" w:line="240" w:lineRule="auto"/>
    </w:pPr>
    <w:rPr>
      <w:rFonts w:ascii="Calibri" w:hAnsi="Calibri" w:cs="Times New Roman"/>
      <w:lang w:val="en-US"/>
    </w:rPr>
  </w:style>
  <w:style w:type="paragraph" w:customStyle="1" w:styleId="Original">
    <w:name w:val="Original"/>
    <w:next w:val="Normal"/>
    <w:autoRedefine/>
    <w:qFormat/>
    <w:rsid w:val="00C16C7C"/>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C16C7C"/>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C16C7C"/>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C16C7C"/>
    <w:pPr>
      <w:tabs>
        <w:tab w:val="right" w:pos="9965"/>
      </w:tabs>
      <w:spacing w:line="210" w:lineRule="exact"/>
    </w:pPr>
    <w:rPr>
      <w:spacing w:val="5"/>
      <w:w w:val="104"/>
      <w:sz w:val="17"/>
    </w:rPr>
  </w:style>
  <w:style w:type="paragraph" w:customStyle="1" w:styleId="SmallX">
    <w:name w:val="SmallX"/>
    <w:basedOn w:val="Small"/>
    <w:next w:val="Normal"/>
    <w:qFormat/>
    <w:rsid w:val="00C16C7C"/>
    <w:pPr>
      <w:spacing w:line="180" w:lineRule="exact"/>
      <w:jc w:val="right"/>
    </w:pPr>
    <w:rPr>
      <w:spacing w:val="6"/>
      <w:w w:val="106"/>
      <w:sz w:val="14"/>
    </w:rPr>
  </w:style>
  <w:style w:type="character" w:styleId="Strong">
    <w:name w:val="Strong"/>
    <w:uiPriority w:val="22"/>
    <w:rsid w:val="00C16C7C"/>
    <w:rPr>
      <w:b/>
      <w:bCs/>
    </w:rPr>
  </w:style>
  <w:style w:type="paragraph" w:customStyle="1" w:styleId="Style1">
    <w:name w:val="Style1"/>
    <w:basedOn w:val="Normal"/>
    <w:qFormat/>
    <w:rsid w:val="00C16C7C"/>
  </w:style>
  <w:style w:type="paragraph" w:customStyle="1" w:styleId="Style2">
    <w:name w:val="Style2"/>
    <w:basedOn w:val="Normal"/>
    <w:autoRedefine/>
    <w:qFormat/>
    <w:rsid w:val="00C16C7C"/>
  </w:style>
  <w:style w:type="paragraph" w:customStyle="1" w:styleId="TitleHCH">
    <w:name w:val="Title_H_CH"/>
    <w:basedOn w:val="HCH"/>
    <w:next w:val="SingleTxt"/>
    <w:qFormat/>
    <w:rsid w:val="00C16C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16C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C16C7C"/>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117277"/>
    <w:rPr>
      <w:sz w:val="16"/>
      <w:szCs w:val="16"/>
    </w:rPr>
  </w:style>
  <w:style w:type="paragraph" w:styleId="CommentText">
    <w:name w:val="annotation text"/>
    <w:basedOn w:val="Normal"/>
    <w:link w:val="CommentTextChar"/>
    <w:uiPriority w:val="99"/>
    <w:semiHidden/>
    <w:unhideWhenUsed/>
    <w:rsid w:val="00117277"/>
    <w:pPr>
      <w:spacing w:line="240" w:lineRule="auto"/>
    </w:pPr>
    <w:rPr>
      <w:szCs w:val="20"/>
    </w:rPr>
  </w:style>
  <w:style w:type="character" w:customStyle="1" w:styleId="CommentTextChar">
    <w:name w:val="Comment Text Char"/>
    <w:basedOn w:val="DefaultParagraphFont"/>
    <w:link w:val="CommentText"/>
    <w:uiPriority w:val="99"/>
    <w:semiHidden/>
    <w:rsid w:val="00117277"/>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117277"/>
    <w:rPr>
      <w:b/>
      <w:bCs/>
    </w:rPr>
  </w:style>
  <w:style w:type="character" w:customStyle="1" w:styleId="CommentSubjectChar">
    <w:name w:val="Comment Subject Char"/>
    <w:basedOn w:val="CommentTextChar"/>
    <w:link w:val="CommentSubject"/>
    <w:uiPriority w:val="99"/>
    <w:semiHidden/>
    <w:rsid w:val="00117277"/>
    <w:rPr>
      <w:rFonts w:ascii="Times New Roman" w:hAnsi="Times New Roman" w:cs="Times New Roman"/>
      <w:b/>
      <w:bCs/>
      <w:spacing w:val="4"/>
      <w:w w:val="103"/>
      <w:kern w:val="14"/>
      <w:sz w:val="20"/>
      <w:szCs w:val="20"/>
      <w:lang w:val="fr-CA"/>
    </w:rPr>
  </w:style>
  <w:style w:type="character" w:styleId="Hyperlink">
    <w:name w:val="Hyperlink"/>
    <w:basedOn w:val="DefaultParagraphFont"/>
    <w:uiPriority w:val="99"/>
    <w:unhideWhenUsed/>
    <w:rsid w:val="007D6C92"/>
    <w:rPr>
      <w:color w:val="0000FF" w:themeColor="hyperlink"/>
      <w:u w:val="none"/>
    </w:rPr>
  </w:style>
  <w:style w:type="character" w:styleId="FollowedHyperlink">
    <w:name w:val="FollowedHyperlink"/>
    <w:basedOn w:val="DefaultParagraphFont"/>
    <w:uiPriority w:val="99"/>
    <w:semiHidden/>
    <w:unhideWhenUsed/>
    <w:rsid w:val="007D6C92"/>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undocs.org/fr/ST/AI/2012/3" TargetMode="External"/><Relationship Id="rId26" Type="http://schemas.openxmlformats.org/officeDocument/2006/relationships/hyperlink" Target="https://undocs.org/fr/ST/AI/2012/3" TargetMode="External"/><Relationship Id="rId3" Type="http://schemas.openxmlformats.org/officeDocument/2006/relationships/styles" Target="styles.xml"/><Relationship Id="rId21" Type="http://schemas.openxmlformats.org/officeDocument/2006/relationships/hyperlink" Target="https://undocs.org/fr/ST/SGB/2011/9"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undocs.org/fr/ST/SGB/2011/9" TargetMode="External"/><Relationship Id="rId25" Type="http://schemas.openxmlformats.org/officeDocument/2006/relationships/hyperlink" Target="https://undocs.org/fr/ST/SGB/2011/9" TargetMode="External"/><Relationship Id="rId2" Type="http://schemas.openxmlformats.org/officeDocument/2006/relationships/numbering" Target="numbering.xml"/><Relationship Id="rId16" Type="http://schemas.openxmlformats.org/officeDocument/2006/relationships/hyperlink" Target="https://undocs.org/fr/ST/AI/2012/3" TargetMode="External"/><Relationship Id="rId20" Type="http://schemas.openxmlformats.org/officeDocument/2006/relationships/hyperlink" Target="https://undocs.org/fr/ST/AI/201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undocs.org/fr/ST/SGB/2011/9" TargetMode="External"/><Relationship Id="rId5" Type="http://schemas.openxmlformats.org/officeDocument/2006/relationships/settings" Target="settings.xml"/><Relationship Id="rId15" Type="http://schemas.openxmlformats.org/officeDocument/2006/relationships/hyperlink" Target="https://undocs.org/fr/ST/SGB/2011/9" TargetMode="External"/><Relationship Id="rId23" Type="http://schemas.openxmlformats.org/officeDocument/2006/relationships/hyperlink" Target="https://undocs.org/fr/ST/SGB/2011/9"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undocs.org/fr/ST/SGB/2011/9"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undocs.org/fr/ST/AI/2012/3" TargetMode="External"/><Relationship Id="rId27" Type="http://schemas.openxmlformats.org/officeDocument/2006/relationships/fontTable" Target="fontTable.xml"/><Relationship Id="rId30" Type="http://schemas.microsoft.com/office/2011/relationships/people" Target="peop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A/RES/65/24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C78BE-8567-4FE0-AEB0-A1891052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1993</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Diana C. Guiu</cp:lastModifiedBy>
  <cp:revision>2</cp:revision>
  <cp:lastPrinted>2017-07-28T13:34:00Z</cp:lastPrinted>
  <dcterms:created xsi:type="dcterms:W3CDTF">2017-07-31T15:38:00Z</dcterms:created>
  <dcterms:modified xsi:type="dcterms:W3CDTF">2017-07-31T15:38:00Z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1712240F</vt:lpwstr>
  </property>
  <property fmtid="{D5CDD505-2E9C-101B-9397-08002B2CF9AE}" pid="3" name="ODSRefJobNo">
    <vt:lpwstr>1722189F</vt:lpwstr>
  </property>
  <property fmtid="{D5CDD505-2E9C-101B-9397-08002B2CF9AE}" pid="4" name="Symbol1">
    <vt:lpwstr>ST/IC/2017/23</vt:lpwstr>
  </property>
  <property fmtid="{D5CDD505-2E9C-101B-9397-08002B2CF9AE}" pid="5" name="Symbol2">
    <vt:lpwstr/>
  </property>
  <property fmtid="{D5CDD505-2E9C-101B-9397-08002B2CF9AE}" pid="6" name="Translator">
    <vt:lpwstr/>
  </property>
  <property fmtid="{D5CDD505-2E9C-101B-9397-08002B2CF9AE}" pid="7" name="Comment">
    <vt:lpwstr>Lecture à continuer à partir du texte surbrillé, page 3</vt:lpwstr>
  </property>
  <property fmtid="{D5CDD505-2E9C-101B-9397-08002B2CF9AE}" pid="8" name="DraftPages">
    <vt:lpwstr> </vt:lpwstr>
  </property>
  <property fmtid="{D5CDD505-2E9C-101B-9397-08002B2CF9AE}" pid="9" name="Operator">
    <vt:lpwstr>FES/CMD</vt:lpwstr>
  </property>
  <property fmtid="{D5CDD505-2E9C-101B-9397-08002B2CF9AE}" pid="10" name="Publication Date">
    <vt:lpwstr>19 juillet 2017</vt:lpwstr>
  </property>
  <property fmtid="{D5CDD505-2E9C-101B-9397-08002B2CF9AE}" pid="11" name="Release Date">
    <vt:lpwstr>260717</vt:lpwstr>
  </property>
  <property fmtid="{D5CDD505-2E9C-101B-9397-08002B2CF9AE}" pid="12" name="Title1">
    <vt:lpwstr>		Circulaire*_x000d__x000d__x000d__x000d_</vt:lpwstr>
  </property>
  <property fmtid="{D5CDD505-2E9C-101B-9397-08002B2CF9AE}" pid="13" name="Title2">
    <vt:lpwstr>	Objet :	Examen aux fins de l’octroi d’un engagement continu, _x000b_au 1er juillet 2014_x000d__x000d__x000d_</vt:lpwstr>
  </property>
</Properties>
</file>