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37" w:rsidRDefault="00E25137" w:rsidP="00E25137">
      <w:pPr>
        <w:spacing w:line="240" w:lineRule="auto"/>
        <w:rPr>
          <w:sz w:val="2"/>
        </w:rPr>
        <w:sectPr w:rsidR="00E25137" w:rsidSect="00E251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966092" w:rsidRPr="00966092" w:rsidRDefault="00966092" w:rsidP="00966092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>
        <w:rPr>
          <w:spacing w:val="5"/>
          <w:sz w:val="17"/>
          <w:szCs w:val="20"/>
        </w:rPr>
        <w:tab/>
        <w:t>*</w:t>
      </w:r>
      <w:r>
        <w:rPr>
          <w:spacing w:val="5"/>
          <w:sz w:val="17"/>
          <w:szCs w:val="20"/>
        </w:rPr>
        <w:tab/>
      </w:r>
      <w:r w:rsidRPr="00966092">
        <w:rPr>
          <w:spacing w:val="5"/>
          <w:sz w:val="17"/>
          <w:szCs w:val="20"/>
        </w:rPr>
        <w:t xml:space="preserve">La présente circulaire restera en vigueur jusqu’à nouvel ordre. </w:t>
      </w:r>
      <w:r w:rsidRPr="00966092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975D" wp14:editId="2141C5F8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966092" w:rsidRDefault="00966092" w:rsidP="00966092">
      <w:pPr>
        <w:pStyle w:val="HCH"/>
        <w:ind w:left="1310"/>
        <w:rPr>
          <w:lang w:val="fr-FR"/>
        </w:rPr>
      </w:pPr>
      <w:r>
        <w:rPr>
          <w:lang w:val="fr-FR"/>
        </w:rPr>
        <w:lastRenderedPageBreak/>
        <w:t>Circulaire</w:t>
      </w:r>
      <w:r w:rsidRPr="00966092">
        <w:rPr>
          <w:b w:val="0"/>
          <w:sz w:val="20"/>
          <w:lang w:val="fr-FR"/>
        </w:rPr>
        <w:t>*</w:t>
      </w:r>
    </w:p>
    <w:p w:rsidR="00966092" w:rsidRDefault="00966092" w:rsidP="00966092">
      <w:pPr>
        <w:pStyle w:val="HCH"/>
        <w:ind w:left="1310"/>
        <w:rPr>
          <w:lang w:val="fr-FR"/>
        </w:rPr>
      </w:pPr>
    </w:p>
    <w:p w:rsidR="00966092" w:rsidRDefault="00966092" w:rsidP="00966092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66092">
        <w:rPr>
          <w:lang w:val="fr-FR"/>
        </w:rPr>
        <w:t>Circulaire de la Sous-Secrétaire générale à la gestion des ressources humaines</w:t>
      </w:r>
    </w:p>
    <w:p w:rsidR="00966092" w:rsidRPr="00966092" w:rsidRDefault="00966092" w:rsidP="00966092">
      <w:pPr>
        <w:tabs>
          <w:tab w:val="right" w:pos="1166"/>
          <w:tab w:val="left" w:pos="1310"/>
        </w:tabs>
        <w:spacing w:line="120" w:lineRule="atLeast"/>
        <w:ind w:left="1310" w:hanging="1310"/>
        <w:rPr>
          <w:sz w:val="10"/>
          <w:lang w:val="fr-FR"/>
        </w:rPr>
      </w:pPr>
    </w:p>
    <w:p w:rsidR="00966092" w:rsidRDefault="00966092" w:rsidP="00966092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ab/>
        <w:t>Destinataires :</w:t>
      </w:r>
      <w:r>
        <w:rPr>
          <w:lang w:val="fr-FR"/>
        </w:rPr>
        <w:tab/>
      </w:r>
      <w:r w:rsidRPr="00966092">
        <w:rPr>
          <w:lang w:val="fr-FR"/>
        </w:rPr>
        <w:t>Les fonctionnaires du Secrétariat</w:t>
      </w:r>
    </w:p>
    <w:p w:rsidR="00966092" w:rsidRDefault="00966092" w:rsidP="00966092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:rsidR="00966092" w:rsidRDefault="00966092" w:rsidP="002913D8">
      <w:pPr>
        <w:pStyle w:val="H1"/>
        <w:tabs>
          <w:tab w:val="right" w:pos="1215"/>
          <w:tab w:val="left" w:pos="1310"/>
        </w:tabs>
        <w:ind w:left="1310" w:hanging="1310"/>
        <w:rPr>
          <w:sz w:val="20"/>
          <w:lang w:val="fr-FR"/>
        </w:rPr>
      </w:pPr>
      <w:r w:rsidRPr="00966092">
        <w:rPr>
          <w:b w:val="0"/>
          <w:sz w:val="20"/>
        </w:rPr>
        <w:tab/>
        <w:t>Objet :</w:t>
      </w:r>
      <w:r w:rsidRPr="00966092">
        <w:rPr>
          <w:b w:val="0"/>
          <w:sz w:val="20"/>
        </w:rPr>
        <w:tab/>
      </w:r>
      <w:r w:rsidRPr="00966092">
        <w:rPr>
          <w:sz w:val="20"/>
          <w:lang w:val="fr-FR"/>
        </w:rPr>
        <w:t xml:space="preserve">Délimitation des zones de mission aux fins de la prime </w:t>
      </w:r>
      <w:r w:rsidRPr="00966092">
        <w:rPr>
          <w:sz w:val="20"/>
          <w:lang w:val="fr-FR"/>
        </w:rPr>
        <w:br/>
        <w:t>de réinstallation</w:t>
      </w:r>
    </w:p>
    <w:p w:rsidR="00966092" w:rsidRPr="00966092" w:rsidRDefault="00966092" w:rsidP="00966092">
      <w:pPr>
        <w:pStyle w:val="SingleTxt"/>
        <w:spacing w:after="0" w:line="120" w:lineRule="atLeast"/>
        <w:rPr>
          <w:sz w:val="10"/>
          <w:lang w:val="fr-FR"/>
        </w:rPr>
      </w:pPr>
    </w:p>
    <w:p w:rsidR="00966092" w:rsidRPr="00966092" w:rsidRDefault="00966092" w:rsidP="00966092">
      <w:pPr>
        <w:pStyle w:val="SingleTxt"/>
        <w:spacing w:after="0" w:line="120" w:lineRule="atLeast"/>
        <w:rPr>
          <w:sz w:val="10"/>
          <w:lang w:val="fr-FR"/>
        </w:rPr>
      </w:pPr>
    </w:p>
    <w:p w:rsidR="00966092" w:rsidRPr="00966092" w:rsidRDefault="00966092" w:rsidP="00966092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966092">
        <w:rPr>
          <w:lang w:val="fr-FR"/>
        </w:rPr>
        <w:t>La présente circulaire a pour objet de porter à la connaissance des fonctionnaires les lieux considérés comme faisant partie d</w:t>
      </w:r>
      <w:r w:rsidR="002913D8">
        <w:rPr>
          <w:lang w:val="fr-FR"/>
        </w:rPr>
        <w:t>’</w:t>
      </w:r>
      <w:r w:rsidRPr="00966092">
        <w:rPr>
          <w:lang w:val="fr-FR"/>
        </w:rPr>
        <w:t>une même zone de mission, au sens donné à ce terme par l</w:t>
      </w:r>
      <w:r w:rsidR="002913D8">
        <w:rPr>
          <w:lang w:val="fr-FR"/>
        </w:rPr>
        <w:t>’</w:t>
      </w:r>
      <w:r w:rsidRPr="00966092">
        <w:rPr>
          <w:lang w:val="fr-FR"/>
        </w:rPr>
        <w:t xml:space="preserve">instruction administrative </w:t>
      </w:r>
      <w:hyperlink r:id="rId14" w:history="1">
        <w:r w:rsidRPr="002310F3">
          <w:rPr>
            <w:rStyle w:val="Hyperlink"/>
            <w:lang w:val="fr-FR"/>
          </w:rPr>
          <w:t>ST/AI/2016/4</w:t>
        </w:r>
      </w:hyperlink>
      <w:r w:rsidRPr="00966092">
        <w:rPr>
          <w:lang w:val="fr-FR"/>
        </w:rPr>
        <w:t xml:space="preserve"> relative à l</w:t>
      </w:r>
      <w:r w:rsidR="002913D8">
        <w:rPr>
          <w:lang w:val="fr-FR"/>
        </w:rPr>
        <w:t>’</w:t>
      </w:r>
      <w:r w:rsidRPr="00966092">
        <w:rPr>
          <w:lang w:val="fr-FR"/>
        </w:rPr>
        <w:t>excédent de bagages, aux envois non accompagnés et à l</w:t>
      </w:r>
      <w:r w:rsidR="002913D8">
        <w:rPr>
          <w:lang w:val="fr-FR"/>
        </w:rPr>
        <w:t>’</w:t>
      </w:r>
      <w:r w:rsidRPr="00966092">
        <w:rPr>
          <w:lang w:val="fr-FR"/>
        </w:rPr>
        <w:t>assurance. Elle a été établie à la suite de consultations avec le Secrétaire général adjoint à l</w:t>
      </w:r>
      <w:r w:rsidR="002913D8">
        <w:rPr>
          <w:lang w:val="fr-FR"/>
        </w:rPr>
        <w:t>’</w:t>
      </w:r>
      <w:r w:rsidRPr="00966092">
        <w:rPr>
          <w:lang w:val="fr-FR"/>
        </w:rPr>
        <w:t>appui aux missions. On trouvera en annexe la liste des zones de mission.</w:t>
      </w:r>
    </w:p>
    <w:p w:rsidR="00966092" w:rsidRPr="00966092" w:rsidRDefault="00966092" w:rsidP="00966092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966092">
        <w:rPr>
          <w:lang w:val="fr-FR"/>
        </w:rPr>
        <w:t>Tout poste sis dans un centre de services ou tout autre service d</w:t>
      </w:r>
      <w:r w:rsidR="002913D8">
        <w:rPr>
          <w:lang w:val="fr-FR"/>
        </w:rPr>
        <w:t>’</w:t>
      </w:r>
      <w:r w:rsidRPr="00966092">
        <w:rPr>
          <w:lang w:val="fr-FR"/>
        </w:rPr>
        <w:t>appui qui est financé par une mission cliente fait partie de la zone de cette mission cliente. Dans ce cas, ainsi qu’il est prévu au paragraphe 16.2 de l</w:t>
      </w:r>
      <w:r w:rsidR="002913D8">
        <w:rPr>
          <w:lang w:val="fr-FR"/>
        </w:rPr>
        <w:t>’</w:t>
      </w:r>
      <w:r w:rsidRPr="00966092">
        <w:rPr>
          <w:lang w:val="fr-FR"/>
        </w:rPr>
        <w:t xml:space="preserve">instruction administrative susmentionnée, la prime de réinstallation ne s’applique pas aux mutations dans la même zone de mission, même si celle-ci couvre plusieurs pays. </w:t>
      </w:r>
    </w:p>
    <w:p w:rsidR="00966092" w:rsidRPr="00966092" w:rsidRDefault="00966092" w:rsidP="00966092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966092">
        <w:rPr>
          <w:lang w:val="fr-FR"/>
        </w:rPr>
        <w:t>Si des changements sont apportés aux ressources budgétaires allouées aux postes d</w:t>
      </w:r>
      <w:r w:rsidR="002913D8">
        <w:rPr>
          <w:lang w:val="fr-FR"/>
        </w:rPr>
        <w:t>’</w:t>
      </w:r>
      <w:r w:rsidRPr="00966092">
        <w:rPr>
          <w:lang w:val="fr-FR"/>
        </w:rPr>
        <w:t>un centre de services ou d</w:t>
      </w:r>
      <w:r w:rsidR="002913D8">
        <w:rPr>
          <w:lang w:val="fr-FR"/>
        </w:rPr>
        <w:t>’</w:t>
      </w:r>
      <w:r w:rsidRPr="00966092">
        <w:rPr>
          <w:lang w:val="fr-FR"/>
        </w:rPr>
        <w:t>un service d</w:t>
      </w:r>
      <w:r w:rsidR="002913D8">
        <w:rPr>
          <w:lang w:val="fr-FR"/>
        </w:rPr>
        <w:t>’</w:t>
      </w:r>
      <w:r w:rsidRPr="00966092">
        <w:rPr>
          <w:lang w:val="fr-FR"/>
        </w:rPr>
        <w:t>appui, la zone de la mission concernée peut être modifiée en conséquence.</w:t>
      </w:r>
    </w:p>
    <w:p w:rsidR="00966092" w:rsidRPr="00966092" w:rsidRDefault="00966092" w:rsidP="00966092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966092">
        <w:rPr>
          <w:lang w:val="fr-FR"/>
        </w:rPr>
        <w:t>La zone d</w:t>
      </w:r>
      <w:r w:rsidR="002913D8">
        <w:rPr>
          <w:lang w:val="fr-FR"/>
        </w:rPr>
        <w:t>’</w:t>
      </w:r>
      <w:r w:rsidRPr="00966092">
        <w:rPr>
          <w:lang w:val="fr-FR"/>
        </w:rPr>
        <w:t>une mission peut également être modifiée à tout moment si des changements sont apportés au mandat de la mission ou à ses activités opérationnelles.</w:t>
      </w:r>
    </w:p>
    <w:p w:rsidR="00966092" w:rsidRDefault="00966092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966092" w:rsidRPr="00966092" w:rsidRDefault="00966092" w:rsidP="009660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966092">
        <w:rPr>
          <w:lang w:val="fr-FR"/>
        </w:rPr>
        <w:lastRenderedPageBreak/>
        <w:t>Annexe</w:t>
      </w:r>
    </w:p>
    <w:p w:rsidR="00966092" w:rsidRPr="00966092" w:rsidRDefault="00966092" w:rsidP="00966092">
      <w:pPr>
        <w:pStyle w:val="SingleTxt"/>
        <w:spacing w:after="0" w:line="120" w:lineRule="atLeast"/>
        <w:rPr>
          <w:sz w:val="10"/>
          <w:lang w:val="fr-FR"/>
        </w:rPr>
      </w:pPr>
    </w:p>
    <w:p w:rsidR="00966092" w:rsidRPr="00966092" w:rsidRDefault="00966092" w:rsidP="0096609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966092">
        <w:rPr>
          <w:lang w:val="fr-FR"/>
        </w:rPr>
        <w:tab/>
      </w:r>
      <w:r w:rsidRPr="00966092">
        <w:rPr>
          <w:lang w:val="fr-FR"/>
        </w:rPr>
        <w:tab/>
        <w:t>Liste récapitulative des missions et de leurs zones respectives</w:t>
      </w:r>
    </w:p>
    <w:p w:rsidR="00966092" w:rsidRDefault="00966092" w:rsidP="00966092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p w:rsidR="00966092" w:rsidRDefault="00966092" w:rsidP="00966092">
      <w:pPr>
        <w:pStyle w:val="SingleTxt"/>
        <w:spacing w:after="0" w:line="120" w:lineRule="exact"/>
        <w:rPr>
          <w:rFonts w:asciiTheme="majorBidi" w:hAnsiTheme="majorBidi" w:cstheme="majorBidi"/>
          <w:sz w:val="10"/>
          <w:lang w:val="fr-FR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2636"/>
      </w:tblGrid>
      <w:tr w:rsidR="00966092" w:rsidRPr="00966092" w:rsidTr="00966092">
        <w:trPr>
          <w:tblHeader/>
        </w:trPr>
        <w:tc>
          <w:tcPr>
            <w:tcW w:w="4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66092" w:rsidRPr="00966092" w:rsidRDefault="00966092" w:rsidP="00966092">
            <w:pPr>
              <w:pStyle w:val="SingleTxt"/>
              <w:tabs>
                <w:tab w:val="left" w:pos="720"/>
              </w:tabs>
              <w:suppressAutoHyphens/>
              <w:spacing w:before="81" w:after="81" w:line="160" w:lineRule="atLeast"/>
              <w:ind w:left="0" w:right="40"/>
              <w:jc w:val="left"/>
              <w:rPr>
                <w:rFonts w:eastAsia="Times New Roman"/>
                <w:i/>
                <w:iCs/>
                <w:sz w:val="14"/>
              </w:rPr>
            </w:pPr>
            <w:r w:rsidRPr="00966092">
              <w:rPr>
                <w:i/>
                <w:iCs/>
                <w:sz w:val="14"/>
                <w:lang w:val="fr-FR"/>
              </w:rPr>
              <w:t xml:space="preserve">Mission 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66092" w:rsidRPr="00966092" w:rsidRDefault="00966092" w:rsidP="00966092">
            <w:pPr>
              <w:pStyle w:val="SingleTxt"/>
              <w:tabs>
                <w:tab w:val="left" w:pos="720"/>
              </w:tabs>
              <w:suppressAutoHyphens/>
              <w:spacing w:before="81" w:after="81" w:line="160" w:lineRule="atLeast"/>
              <w:ind w:left="144" w:right="43"/>
              <w:jc w:val="left"/>
              <w:rPr>
                <w:rFonts w:eastAsia="Times New Roman"/>
                <w:i/>
                <w:iCs/>
                <w:sz w:val="14"/>
              </w:rPr>
            </w:pPr>
            <w:r w:rsidRPr="00966092">
              <w:rPr>
                <w:i/>
                <w:iCs/>
                <w:sz w:val="14"/>
                <w:lang w:val="fr-FR"/>
              </w:rPr>
              <w:t>Zone de la mission</w:t>
            </w:r>
          </w:p>
        </w:tc>
      </w:tr>
      <w:tr w:rsidR="00966092" w:rsidRPr="00966092" w:rsidTr="00966092">
        <w:trPr>
          <w:trHeight w:hRule="exact" w:val="115"/>
          <w:tblHeader/>
        </w:trPr>
        <w:tc>
          <w:tcPr>
            <w:tcW w:w="45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6092" w:rsidRPr="00966092" w:rsidRDefault="00966092" w:rsidP="00966092">
            <w:pPr>
              <w:pStyle w:val="SingleTxt"/>
              <w:tabs>
                <w:tab w:val="left" w:pos="720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</w:rPr>
            </w:pPr>
          </w:p>
        </w:tc>
        <w:tc>
          <w:tcPr>
            <w:tcW w:w="26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6092" w:rsidRPr="00966092" w:rsidRDefault="00966092" w:rsidP="00966092">
            <w:pPr>
              <w:pStyle w:val="SingleTxt"/>
              <w:tabs>
                <w:tab w:val="left" w:pos="720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Base de soutien logistique des Nations Unies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Italie et Espagne</w:t>
            </w:r>
          </w:p>
        </w:tc>
      </w:tr>
      <w:tr w:rsidR="00EC12EA" w:rsidRPr="00966092" w:rsidTr="00AB7275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appui des Nations Unies en Somalie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Somalie et Kenya</w:t>
            </w:r>
          </w:p>
        </w:tc>
      </w:tr>
      <w:tr w:rsidR="00774D25" w:rsidRPr="00966092" w:rsidTr="00AB7275">
        <w:tc>
          <w:tcPr>
            <w:tcW w:w="4580" w:type="dxa"/>
            <w:shd w:val="clear" w:color="auto" w:fill="auto"/>
          </w:tcPr>
          <w:p w:rsidR="00774D25" w:rsidRPr="00966092" w:rsidRDefault="00774D25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lang w:val="fr-FR"/>
              </w:rPr>
            </w:pPr>
            <w:r w:rsidRPr="00966092">
              <w:rPr>
                <w:lang w:val="fr-FR"/>
              </w:rPr>
              <w:t>Bureau de la Coordonnatrice spéciale des Nations Unies pour le Liban</w:t>
            </w:r>
          </w:p>
        </w:tc>
        <w:tc>
          <w:tcPr>
            <w:tcW w:w="2636" w:type="dxa"/>
            <w:shd w:val="clear" w:color="auto" w:fill="auto"/>
          </w:tcPr>
          <w:p w:rsidR="00774D25" w:rsidRPr="00966092" w:rsidRDefault="00774D25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lang w:val="fr-FR"/>
              </w:rPr>
            </w:pPr>
            <w:r w:rsidRPr="00966092">
              <w:rPr>
                <w:lang w:val="fr-FR"/>
              </w:rPr>
              <w:t>Liban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de l’Envoyé spécial du Secrétaire général pour la région des Grands Lacs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Kenya et République démocratique du Congo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de l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Envoyé spécial du Secrétaire général pour la Syrie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République arabe syrienne et Suisse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de l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Envoyé spécial du Secrétaire général pour le Soudan et le Soudan du Sud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Éthiopie, Soudan et Soudan du Sud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des Nations Unies auprès de l’Union africaine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Éthiopie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des Nations Unies pour l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Afrique de l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Ouest et le Sahel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Sénégal et Mauritanie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du Conseiller spécial du Secrétaire général pour Chypre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Chypre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du Conseiller spécial du Secrétaire général pour la prévention des conflits, y compris au Burundi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Burundi et États-Unis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Amérique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du Conseiller spécial du Secrétaire général pour le Yémen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Yémen, Jordanie et États-Unis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Amérique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du Coordonnateur spécial des Nations Unies pour le processus de paix au Moyen-Orient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Gaza, Jérusalem et Cisjordanie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intégré des Nations Unies pour la consolidation de la paix en Guinée-Bissau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Guinée-Bissau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Bureau régional des Nations Unies pour l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Afrique centrale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Gabon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Centre de services régional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Entebbe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Ouganda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Centre régional des Nations Unies pour la diplomatie préventive en Asie centrale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Turkménistan, Kirghizistan, Tadjikistan, Ouzbékistan et Kazakhstan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Commission mixte Cameroun-Nigéria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Sénégal, Cameroun et Nigéria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Force des Nations Unies chargée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 xml:space="preserve">observer le </w:t>
            </w:r>
            <w:r w:rsidRPr="00966092">
              <w:rPr>
                <w:lang w:val="fr-FR"/>
              </w:rPr>
              <w:lastRenderedPageBreak/>
              <w:t>désengagement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lastRenderedPageBreak/>
              <w:t xml:space="preserve">République arabe syrienne (y compris le Golan syrien </w:t>
            </w:r>
            <w:r w:rsidRPr="00966092">
              <w:rPr>
                <w:lang w:val="fr-FR"/>
              </w:rPr>
              <w:lastRenderedPageBreak/>
              <w:t>occupé)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lastRenderedPageBreak/>
              <w:t>Force des Nations Unies chargée du maintien de la paix à Chypre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Chypre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 xml:space="preserve">Force intérimaire de sécurité des Nations Unies pour </w:t>
            </w:r>
            <w:proofErr w:type="spellStart"/>
            <w:r w:rsidRPr="00966092">
              <w:rPr>
                <w:lang w:val="fr-FR"/>
              </w:rPr>
              <w:t>Abyei</w:t>
            </w:r>
            <w:proofErr w:type="spellEnd"/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Soudan, Soudan du Sud, Ouganda et Éthiopie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Force intérimaire des Nations Unies au Liban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Liban et Israël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Groupe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observateurs militaires des Nations Unies dans l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Inde et le Pakistan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Pakistan et Inde</w:t>
            </w:r>
          </w:p>
        </w:tc>
      </w:tr>
      <w:tr w:rsidR="00774D25" w:rsidRPr="00966092" w:rsidTr="00966092">
        <w:tc>
          <w:tcPr>
            <w:tcW w:w="4580" w:type="dxa"/>
            <w:shd w:val="clear" w:color="auto" w:fill="auto"/>
          </w:tcPr>
          <w:p w:rsidR="00774D25" w:rsidRPr="00966092" w:rsidRDefault="00774D25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lang w:val="fr-FR"/>
              </w:rPr>
            </w:pPr>
            <w:r w:rsidRPr="00966092">
              <w:rPr>
                <w:lang w:val="fr-FR"/>
              </w:rPr>
              <w:t>Mission d</w:t>
            </w:r>
            <w:r>
              <w:rPr>
                <w:lang w:val="fr-FR"/>
              </w:rPr>
              <w:t>’</w:t>
            </w:r>
            <w:r w:rsidRPr="00966092">
              <w:rPr>
                <w:lang w:val="fr-FR"/>
              </w:rPr>
              <w:t>administration intérimaire des Nations Unies au Kosovo</w:t>
            </w:r>
          </w:p>
        </w:tc>
        <w:tc>
          <w:tcPr>
            <w:tcW w:w="2636" w:type="dxa"/>
            <w:shd w:val="clear" w:color="auto" w:fill="auto"/>
          </w:tcPr>
          <w:p w:rsidR="00774D25" w:rsidRPr="00966092" w:rsidRDefault="00774D25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lang w:val="fr-FR"/>
              </w:rPr>
            </w:pPr>
            <w:r w:rsidRPr="00966092">
              <w:rPr>
                <w:lang w:val="fr-FR"/>
              </w:rPr>
              <w:t>Serbie (y compris le Kosovo)</w:t>
            </w:r>
          </w:p>
        </w:tc>
      </w:tr>
      <w:tr w:rsidR="00774D25" w:rsidRPr="00966092" w:rsidTr="00966092">
        <w:tc>
          <w:tcPr>
            <w:tcW w:w="4580" w:type="dxa"/>
            <w:shd w:val="clear" w:color="auto" w:fill="auto"/>
          </w:tcPr>
          <w:p w:rsidR="00774D25" w:rsidRPr="00966092" w:rsidRDefault="00774D25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lang w:val="fr-FR"/>
              </w:rPr>
            </w:pPr>
            <w:r w:rsidRPr="00966092">
              <w:rPr>
                <w:lang w:val="fr-FR"/>
              </w:rPr>
              <w:t>Mission d</w:t>
            </w:r>
            <w:r>
              <w:rPr>
                <w:lang w:val="fr-FR"/>
              </w:rPr>
              <w:t>’</w:t>
            </w:r>
            <w:r w:rsidRPr="00966092">
              <w:rPr>
                <w:lang w:val="fr-FR"/>
              </w:rPr>
              <w:t>appui des Nations Unies en Libye</w:t>
            </w:r>
          </w:p>
        </w:tc>
        <w:tc>
          <w:tcPr>
            <w:tcW w:w="2636" w:type="dxa"/>
            <w:shd w:val="clear" w:color="auto" w:fill="auto"/>
          </w:tcPr>
          <w:p w:rsidR="00774D25" w:rsidRPr="00966092" w:rsidRDefault="00774D25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lang w:val="fr-FR"/>
              </w:rPr>
            </w:pPr>
            <w:r w:rsidRPr="00966092">
              <w:rPr>
                <w:lang w:val="fr-FR"/>
              </w:rPr>
              <w:t>Libye, Italie et Tunisie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assistance des Nations Unies en Afghanistan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Afghanistan, Iran (République islamique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), Koweït, Pakistan et Émirats arabes unis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assistance des Nations Unies en Somalie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Somalie et Kenya</w:t>
            </w:r>
          </w:p>
        </w:tc>
      </w:tr>
      <w:tr w:rsidR="00774D25" w:rsidRPr="00966092" w:rsidTr="00966092">
        <w:tc>
          <w:tcPr>
            <w:tcW w:w="4580" w:type="dxa"/>
            <w:shd w:val="clear" w:color="auto" w:fill="auto"/>
          </w:tcPr>
          <w:p w:rsidR="00774D25" w:rsidRPr="00966092" w:rsidRDefault="00774D25" w:rsidP="00AE583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d’assistance des Nations Unies pour l’Iraq</w:t>
            </w:r>
          </w:p>
        </w:tc>
        <w:tc>
          <w:tcPr>
            <w:tcW w:w="2636" w:type="dxa"/>
            <w:shd w:val="clear" w:color="auto" w:fill="auto"/>
          </w:tcPr>
          <w:p w:rsidR="00774D25" w:rsidRPr="00966092" w:rsidRDefault="00774D25" w:rsidP="00AE583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Iraq, Iran (République islamique d</w:t>
            </w:r>
            <w:r>
              <w:rPr>
                <w:lang w:val="fr-FR"/>
              </w:rPr>
              <w:t>’</w:t>
            </w:r>
            <w:r w:rsidRPr="00966092">
              <w:rPr>
                <w:lang w:val="fr-FR"/>
              </w:rPr>
              <w:t>), Jordanie et Koweït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de l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Organisation des Nations Unies pour la stabilisation en République démocratique du Congo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République démocratique du Congo, Rwanda, Ouganda, Burundi et Afrique du Sud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des Nations Unies au Libéria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Libéria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des Nations Unies au Soudan du Sud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Soudan du Sud, Kenya et Ouganda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b/>
                <w:lang w:val="fr-FR"/>
              </w:rPr>
            </w:pPr>
            <w:r w:rsidRPr="00966092">
              <w:rPr>
                <w:lang w:val="fr-FR"/>
              </w:rPr>
              <w:t>Mission des Nations Unies en Colombie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Colombie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des Nations Unies pour la stabilisation en Haïti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Haïti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des Nations Unies pour l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organisation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un référendum au Sahara occidental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Maroc et Algérie</w:t>
            </w:r>
          </w:p>
        </w:tc>
      </w:tr>
      <w:tr w:rsidR="00774D25" w:rsidRPr="00966092" w:rsidTr="00966092">
        <w:tc>
          <w:tcPr>
            <w:tcW w:w="4580" w:type="dxa"/>
            <w:shd w:val="clear" w:color="auto" w:fill="auto"/>
          </w:tcPr>
          <w:p w:rsidR="00774D25" w:rsidRPr="00966092" w:rsidRDefault="00774D25" w:rsidP="00AE583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multidimensionnelle intégrée des Nations Unies pour la stabilisation au Mali</w:t>
            </w:r>
          </w:p>
        </w:tc>
        <w:tc>
          <w:tcPr>
            <w:tcW w:w="2636" w:type="dxa"/>
            <w:shd w:val="clear" w:color="auto" w:fill="auto"/>
          </w:tcPr>
          <w:p w:rsidR="00774D25" w:rsidRPr="00966092" w:rsidRDefault="00774D25" w:rsidP="00AE583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color w:val="FF0000"/>
              </w:rPr>
            </w:pPr>
            <w:r w:rsidRPr="00966092">
              <w:rPr>
                <w:lang w:val="fr-FR"/>
              </w:rPr>
              <w:t>Mali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Mission multidimensionnelle intégrée des Nations Unies pour la stabilisation en République centrafricaine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 xml:space="preserve">République centrafricaine, Cameroun et Ouganda </w:t>
            </w:r>
          </w:p>
        </w:tc>
      </w:tr>
      <w:tr w:rsidR="00EC12EA" w:rsidRPr="00966092" w:rsidTr="00966092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Opération des Nations Unies en Côte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Ivoire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Côte d</w:t>
            </w:r>
            <w:r w:rsidR="002913D8">
              <w:rPr>
                <w:lang w:val="fr-FR"/>
              </w:rPr>
              <w:t>’</w:t>
            </w:r>
            <w:r w:rsidRPr="00966092">
              <w:rPr>
                <w:lang w:val="fr-FR"/>
              </w:rPr>
              <w:t>Ivoire</w:t>
            </w:r>
          </w:p>
        </w:tc>
      </w:tr>
      <w:tr w:rsidR="00EC12EA" w:rsidRPr="00966092" w:rsidTr="00EC12EA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Opération hybride Union africaine-Nations Unies au Darfour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color w:val="FF0000"/>
              </w:rPr>
            </w:pPr>
            <w:r w:rsidRPr="00966092">
              <w:rPr>
                <w:lang w:val="fr-FR"/>
              </w:rPr>
              <w:t>Soudan et Éthiopie</w:t>
            </w:r>
          </w:p>
        </w:tc>
      </w:tr>
      <w:tr w:rsidR="00EC12EA" w:rsidRPr="00966092" w:rsidTr="00EC12EA">
        <w:tc>
          <w:tcPr>
            <w:tcW w:w="4580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Organisme des Nations Unies chargé de la surveillance de la trêve</w:t>
            </w:r>
          </w:p>
        </w:tc>
        <w:tc>
          <w:tcPr>
            <w:tcW w:w="2636" w:type="dxa"/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Israël, Égypte, Liban, République arabe syrienne et Jordanie</w:t>
            </w:r>
          </w:p>
        </w:tc>
      </w:tr>
      <w:tr w:rsidR="00EC12EA" w:rsidRPr="00966092" w:rsidTr="00EC12EA">
        <w:tc>
          <w:tcPr>
            <w:tcW w:w="458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rFonts w:eastAsia="Times New Roman"/>
                <w:lang w:val="fr-FR"/>
              </w:rPr>
            </w:pPr>
            <w:r w:rsidRPr="00966092">
              <w:rPr>
                <w:lang w:val="fr-FR"/>
              </w:rPr>
              <w:t>Représentant de l’ONU aux discussions internationales de Genève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C12EA" w:rsidRPr="00966092" w:rsidRDefault="00EC12EA" w:rsidP="0096609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jc w:val="left"/>
              <w:rPr>
                <w:rFonts w:eastAsia="Times New Roman"/>
              </w:rPr>
            </w:pPr>
            <w:r w:rsidRPr="00966092">
              <w:rPr>
                <w:lang w:val="fr-FR"/>
              </w:rPr>
              <w:t>Suisse</w:t>
            </w:r>
          </w:p>
        </w:tc>
      </w:tr>
    </w:tbl>
    <w:p w:rsidR="00966092" w:rsidRPr="00AB7275" w:rsidRDefault="00AB7275" w:rsidP="00AB727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966092" w:rsidRPr="00AB7275" w:rsidSect="00E25137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37" w:rsidRDefault="00E25137" w:rsidP="00E25137">
      <w:pPr>
        <w:spacing w:line="240" w:lineRule="auto"/>
      </w:pPr>
      <w:r>
        <w:separator/>
      </w:r>
    </w:p>
  </w:endnote>
  <w:endnote w:type="continuationSeparator" w:id="0">
    <w:p w:rsidR="00E25137" w:rsidRDefault="00E25137" w:rsidP="00E25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25137" w:rsidTr="00E25137">
      <w:tc>
        <w:tcPr>
          <w:tcW w:w="5028" w:type="dxa"/>
          <w:shd w:val="clear" w:color="auto" w:fill="auto"/>
        </w:tcPr>
        <w:p w:rsidR="00E25137" w:rsidRPr="00E25137" w:rsidRDefault="00E25137" w:rsidP="00E2513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A5105">
            <w:rPr>
              <w:b w:val="0"/>
              <w:w w:val="103"/>
              <w:sz w:val="14"/>
            </w:rPr>
            <w:t>16-16963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E25137" w:rsidRPr="00E25137" w:rsidRDefault="00E25137" w:rsidP="00E2513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C55D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C55D4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E25137" w:rsidRPr="00E25137" w:rsidRDefault="00E25137" w:rsidP="00E25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25137" w:rsidTr="00E25137">
      <w:tc>
        <w:tcPr>
          <w:tcW w:w="5028" w:type="dxa"/>
          <w:shd w:val="clear" w:color="auto" w:fill="auto"/>
        </w:tcPr>
        <w:p w:rsidR="00E25137" w:rsidRPr="00E25137" w:rsidRDefault="00E25137" w:rsidP="00E2513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C55D4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C55D4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E25137" w:rsidRPr="00E25137" w:rsidRDefault="00E25137" w:rsidP="00E2513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A5105">
            <w:rPr>
              <w:b w:val="0"/>
              <w:w w:val="103"/>
              <w:sz w:val="14"/>
            </w:rPr>
            <w:t>16-16963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25137" w:rsidRPr="00E25137" w:rsidRDefault="00E25137" w:rsidP="00E25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37" w:rsidRDefault="00E2513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4B11014" wp14:editId="17C26FF0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T/IC/2016/2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6/2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E25137" w:rsidTr="00E25137">
      <w:tc>
        <w:tcPr>
          <w:tcW w:w="3758" w:type="dxa"/>
        </w:tcPr>
        <w:p w:rsidR="00E25137" w:rsidRDefault="00E25137" w:rsidP="00E2513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A5105">
            <w:rPr>
              <w:b w:val="0"/>
              <w:sz w:val="20"/>
            </w:rPr>
            <w:t>16-16963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071016    071016</w:t>
          </w:r>
        </w:p>
        <w:p w:rsidR="00E25137" w:rsidRPr="00E25137" w:rsidRDefault="00E25137" w:rsidP="00E25137">
          <w:pPr>
            <w:pStyle w:val="Footer"/>
            <w:spacing w:before="120" w:line="200" w:lineRule="atLeas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FA510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*1616963*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E25137" w:rsidRDefault="00E25137" w:rsidP="00E2513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94D0529" wp14:editId="3ACBA77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5137" w:rsidRPr="00E25137" w:rsidRDefault="00E25137" w:rsidP="00E2513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37" w:rsidRDefault="00E25137" w:rsidP="00E25137">
      <w:pPr>
        <w:spacing w:line="240" w:lineRule="auto"/>
      </w:pPr>
      <w:r>
        <w:separator/>
      </w:r>
    </w:p>
  </w:footnote>
  <w:footnote w:type="continuationSeparator" w:id="0">
    <w:p w:rsidR="00E25137" w:rsidRDefault="00E25137" w:rsidP="00E25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25137" w:rsidTr="00E2513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25137" w:rsidRPr="00E25137" w:rsidRDefault="00E25137" w:rsidP="00E2513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A5105">
            <w:rPr>
              <w:b/>
              <w:color w:val="000000"/>
            </w:rPr>
            <w:t>ST/IC/2016/28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E25137" w:rsidRDefault="00E25137" w:rsidP="00E25137">
          <w:pPr>
            <w:pStyle w:val="Header"/>
          </w:pPr>
        </w:p>
      </w:tc>
    </w:tr>
  </w:tbl>
  <w:p w:rsidR="00E25137" w:rsidRPr="00E25137" w:rsidRDefault="00E25137" w:rsidP="00E2513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25137" w:rsidTr="00E2513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25137" w:rsidRDefault="00E25137" w:rsidP="00E25137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E25137" w:rsidRPr="00E25137" w:rsidRDefault="00E25137" w:rsidP="00E2513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A5105">
            <w:rPr>
              <w:b/>
              <w:color w:val="000000"/>
            </w:rPr>
            <w:t>ST/IC/2016/28</w:t>
          </w:r>
          <w:r>
            <w:rPr>
              <w:b/>
              <w:color w:val="000000"/>
            </w:rPr>
            <w:fldChar w:fldCharType="end"/>
          </w:r>
        </w:p>
      </w:tc>
    </w:tr>
  </w:tbl>
  <w:p w:rsidR="00E25137" w:rsidRPr="00E25137" w:rsidRDefault="00E25137" w:rsidP="00E2513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E25137" w:rsidTr="00E25137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5137" w:rsidRDefault="00E25137" w:rsidP="00E2513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5137" w:rsidRPr="00E25137" w:rsidRDefault="00E25137" w:rsidP="00E2513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5137" w:rsidRDefault="00E25137" w:rsidP="00E25137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25137" w:rsidRPr="00E25137" w:rsidRDefault="00E25137" w:rsidP="00E2513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/IC/2016/28</w:t>
          </w:r>
        </w:p>
      </w:tc>
    </w:tr>
    <w:tr w:rsidR="00E25137" w:rsidRPr="00E25137" w:rsidTr="00E2513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5137" w:rsidRPr="00E25137" w:rsidRDefault="00E25137" w:rsidP="00E25137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2A355FB" wp14:editId="4F26204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5137" w:rsidRPr="00E25137" w:rsidRDefault="00E25137" w:rsidP="00E25137">
          <w:pPr>
            <w:pStyle w:val="XLarge"/>
            <w:spacing w:before="109" w:line="390" w:lineRule="atLeast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5137" w:rsidRPr="00E25137" w:rsidRDefault="00E25137" w:rsidP="00E25137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74D25" w:rsidRDefault="00774D25" w:rsidP="00E25137">
          <w:pPr>
            <w:pStyle w:val="Publication"/>
            <w:rPr>
              <w:color w:val="000000"/>
            </w:rPr>
          </w:pPr>
        </w:p>
        <w:p w:rsidR="00774D25" w:rsidRDefault="00774D25" w:rsidP="00E25137">
          <w:pPr>
            <w:pStyle w:val="Publication"/>
            <w:rPr>
              <w:color w:val="000000"/>
            </w:rPr>
          </w:pPr>
        </w:p>
        <w:p w:rsidR="00E25137" w:rsidRDefault="00966092" w:rsidP="00E25137">
          <w:pPr>
            <w:pStyle w:val="Publication"/>
            <w:rPr>
              <w:color w:val="000000"/>
            </w:rPr>
          </w:pPr>
          <w:r>
            <w:rPr>
              <w:color w:val="000000"/>
            </w:rPr>
            <w:t>1</w:t>
          </w:r>
          <w:r w:rsidRPr="00966092">
            <w:rPr>
              <w:color w:val="000000"/>
              <w:vertAlign w:val="superscript"/>
            </w:rPr>
            <w:t>er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octobre</w:t>
          </w:r>
          <w:proofErr w:type="spellEnd"/>
          <w:r w:rsidR="00E25137">
            <w:rPr>
              <w:color w:val="000000"/>
            </w:rPr>
            <w:t xml:space="preserve"> 2016</w:t>
          </w:r>
        </w:p>
        <w:p w:rsidR="00E25137" w:rsidRPr="00E25137" w:rsidRDefault="00E25137" w:rsidP="00E25137">
          <w:pPr>
            <w:rPr>
              <w:lang w:val="en-US"/>
            </w:rPr>
          </w:pPr>
        </w:p>
      </w:tc>
    </w:tr>
  </w:tbl>
  <w:p w:rsidR="00E25137" w:rsidRPr="00E25137" w:rsidRDefault="00E25137" w:rsidP="00E25137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D653B"/>
    <w:multiLevelType w:val="hybridMultilevel"/>
    <w:tmpl w:val="FEF00626"/>
    <w:lvl w:ilvl="0" w:tplc="07E2D578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64DC1315"/>
    <w:multiLevelType w:val="singleLevel"/>
    <w:tmpl w:val="CB308F8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6963*"/>
    <w:docVar w:name="CreationDt" w:val="07/10/2016 2:36: PM"/>
    <w:docVar w:name="DocCategory" w:val="Doc"/>
    <w:docVar w:name="DocType" w:val="Final"/>
    <w:docVar w:name="DutyStation" w:val="New York"/>
    <w:docVar w:name="FooterJN" w:val="16-16963"/>
    <w:docVar w:name="jobn" w:val="16-16963 (F)"/>
    <w:docVar w:name="jobnDT" w:val="16-16963 (F)   071016"/>
    <w:docVar w:name="jobnDTDT" w:val="16-16963 (F)   071016   071016"/>
    <w:docVar w:name="JobNo" w:val="1616963F"/>
    <w:docVar w:name="JobNo2" w:val="1630448F"/>
    <w:docVar w:name="LocalDrive" w:val="0"/>
    <w:docVar w:name="OandT" w:val="ctr"/>
    <w:docVar w:name="sss1" w:val="ST/IC/2016/28"/>
    <w:docVar w:name="sss2" w:val="-"/>
    <w:docVar w:name="Symbol1" w:val="ST/IC/2016/28"/>
    <w:docVar w:name="Symbol2" w:val="-"/>
  </w:docVars>
  <w:rsids>
    <w:rsidRoot w:val="006548EE"/>
    <w:rsid w:val="002310F3"/>
    <w:rsid w:val="002913D8"/>
    <w:rsid w:val="00306B68"/>
    <w:rsid w:val="00317C83"/>
    <w:rsid w:val="0039674E"/>
    <w:rsid w:val="004C1A25"/>
    <w:rsid w:val="004D738D"/>
    <w:rsid w:val="005E6C67"/>
    <w:rsid w:val="00647D99"/>
    <w:rsid w:val="006548EE"/>
    <w:rsid w:val="00774D25"/>
    <w:rsid w:val="00845223"/>
    <w:rsid w:val="008A330D"/>
    <w:rsid w:val="008C36B3"/>
    <w:rsid w:val="00904E52"/>
    <w:rsid w:val="009353AE"/>
    <w:rsid w:val="00966092"/>
    <w:rsid w:val="00993CB7"/>
    <w:rsid w:val="00AB7275"/>
    <w:rsid w:val="00AD5F2F"/>
    <w:rsid w:val="00B575A6"/>
    <w:rsid w:val="00B67D09"/>
    <w:rsid w:val="00C264B3"/>
    <w:rsid w:val="00C75DDC"/>
    <w:rsid w:val="00CB06FB"/>
    <w:rsid w:val="00CE644F"/>
    <w:rsid w:val="00E25137"/>
    <w:rsid w:val="00E343A6"/>
    <w:rsid w:val="00EC12EA"/>
    <w:rsid w:val="00EF2DFA"/>
    <w:rsid w:val="00EF404B"/>
    <w:rsid w:val="00F73093"/>
    <w:rsid w:val="00FA3D05"/>
    <w:rsid w:val="00FA5105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8D"/>
    <w:pPr>
      <w:spacing w:after="0" w:line="240" w:lineRule="atLeas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38D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38D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38D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D738D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D738D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738D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D738D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38D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38D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4D738D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D738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4D738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4D738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4D738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D738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4D738D"/>
    <w:pPr>
      <w:ind w:left="1267" w:right="1267"/>
    </w:pPr>
  </w:style>
  <w:style w:type="paragraph" w:customStyle="1" w:styleId="SingleTxt">
    <w:name w:val="__Single Txt"/>
    <w:basedOn w:val="Normal"/>
    <w:qFormat/>
    <w:rsid w:val="004D738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4D738D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4D738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4D738D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38D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4D738D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D738D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D738D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4D738D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4D738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38D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D738D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4D738D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4D738D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4D738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4D738D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4D738D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4D738D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4D738D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4D738D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4D738D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4D738D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4D738D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4D738D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4D738D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4D738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4D738D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4D738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4D738D"/>
    <w:rPr>
      <w:sz w:val="14"/>
    </w:rPr>
  </w:style>
  <w:style w:type="paragraph" w:styleId="ListParagraph">
    <w:name w:val="List Paragraph"/>
    <w:basedOn w:val="Normal"/>
    <w:uiPriority w:val="34"/>
    <w:rsid w:val="004D738D"/>
    <w:pPr>
      <w:ind w:left="720"/>
      <w:contextualSpacing/>
    </w:pPr>
  </w:style>
  <w:style w:type="paragraph" w:styleId="NoSpacing">
    <w:name w:val="No Spacing"/>
    <w:uiPriority w:val="1"/>
    <w:rsid w:val="004D738D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4D738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D738D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4D738D"/>
    <w:rPr>
      <w:b/>
      <w:bCs/>
    </w:rPr>
  </w:style>
  <w:style w:type="paragraph" w:customStyle="1" w:styleId="Style1">
    <w:name w:val="Style1"/>
    <w:basedOn w:val="Normal"/>
    <w:qFormat/>
    <w:rsid w:val="004D738D"/>
  </w:style>
  <w:style w:type="paragraph" w:customStyle="1" w:styleId="Style2">
    <w:name w:val="Style2"/>
    <w:basedOn w:val="Normal"/>
    <w:autoRedefine/>
    <w:qFormat/>
    <w:rsid w:val="004D738D"/>
  </w:style>
  <w:style w:type="paragraph" w:customStyle="1" w:styleId="TitleHCH">
    <w:name w:val="Title_H_CH"/>
    <w:basedOn w:val="HCH"/>
    <w:next w:val="SingleTxt"/>
    <w:qFormat/>
    <w:rsid w:val="004D738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4D738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4D738D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E25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1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37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3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5E6C6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character" w:styleId="Hyperlink">
    <w:name w:val="Hyperlink"/>
    <w:basedOn w:val="DefaultParagraphFont"/>
    <w:uiPriority w:val="99"/>
    <w:unhideWhenUsed/>
    <w:rsid w:val="002310F3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310F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8D"/>
    <w:pPr>
      <w:spacing w:after="0" w:line="240" w:lineRule="atLeas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38D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38D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38D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D738D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D738D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738D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D738D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38D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38D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4D738D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D738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4D738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4D738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4D738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D738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4D738D"/>
    <w:pPr>
      <w:ind w:left="1267" w:right="1267"/>
    </w:pPr>
  </w:style>
  <w:style w:type="paragraph" w:customStyle="1" w:styleId="SingleTxt">
    <w:name w:val="__Single Txt"/>
    <w:basedOn w:val="Normal"/>
    <w:qFormat/>
    <w:rsid w:val="004D738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4D738D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4D738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4D738D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38D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4D738D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D738D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D738D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4D738D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4D738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38D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D738D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4D738D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4D738D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4D738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4D738D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4D738D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4D738D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4D738D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4D738D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4D738D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4D738D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4D738D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4D738D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4D738D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4D738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4D738D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4D738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4D738D"/>
    <w:rPr>
      <w:sz w:val="14"/>
    </w:rPr>
  </w:style>
  <w:style w:type="paragraph" w:styleId="ListParagraph">
    <w:name w:val="List Paragraph"/>
    <w:basedOn w:val="Normal"/>
    <w:uiPriority w:val="34"/>
    <w:rsid w:val="004D738D"/>
    <w:pPr>
      <w:ind w:left="720"/>
      <w:contextualSpacing/>
    </w:pPr>
  </w:style>
  <w:style w:type="paragraph" w:styleId="NoSpacing">
    <w:name w:val="No Spacing"/>
    <w:uiPriority w:val="1"/>
    <w:rsid w:val="004D738D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4D738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D738D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4D738D"/>
    <w:rPr>
      <w:b/>
      <w:bCs/>
    </w:rPr>
  </w:style>
  <w:style w:type="paragraph" w:customStyle="1" w:styleId="Style1">
    <w:name w:val="Style1"/>
    <w:basedOn w:val="Normal"/>
    <w:qFormat/>
    <w:rsid w:val="004D738D"/>
  </w:style>
  <w:style w:type="paragraph" w:customStyle="1" w:styleId="Style2">
    <w:name w:val="Style2"/>
    <w:basedOn w:val="Normal"/>
    <w:autoRedefine/>
    <w:qFormat/>
    <w:rsid w:val="004D738D"/>
  </w:style>
  <w:style w:type="paragraph" w:customStyle="1" w:styleId="TitleHCH">
    <w:name w:val="Title_H_CH"/>
    <w:basedOn w:val="HCH"/>
    <w:next w:val="SingleTxt"/>
    <w:qFormat/>
    <w:rsid w:val="004D738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4D738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4D738D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E25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1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37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3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5E6C6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character" w:styleId="Hyperlink">
    <w:name w:val="Hyperlink"/>
    <w:basedOn w:val="DefaultParagraphFont"/>
    <w:uiPriority w:val="99"/>
    <w:unhideWhenUsed/>
    <w:rsid w:val="002310F3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310F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ST/AI/2016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 Margareth Baccay</cp:lastModifiedBy>
  <cp:revision>2</cp:revision>
  <cp:lastPrinted>2016-10-08T00:22:00Z</cp:lastPrinted>
  <dcterms:created xsi:type="dcterms:W3CDTF">2017-02-08T15:27:00Z</dcterms:created>
  <dcterms:modified xsi:type="dcterms:W3CDTF">2017-02-08T15:27:00Z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1616963F</vt:lpwstr>
  </property>
  <property fmtid="{D5CDD505-2E9C-101B-9397-08002B2CF9AE}" pid="3" name="ODSRefJobNo">
    <vt:lpwstr>1630448F</vt:lpwstr>
  </property>
  <property fmtid="{D5CDD505-2E9C-101B-9397-08002B2CF9AE}" pid="4" name="Symbol1">
    <vt:lpwstr>ST/IC/2016/28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30 septembre 2016</vt:lpwstr>
  </property>
  <property fmtid="{D5CDD505-2E9C-101B-9397-08002B2CF9AE}" pid="9" name="Original">
    <vt:lpwstr>anglais</vt:lpwstr>
  </property>
  <property fmtid="{D5CDD505-2E9C-101B-9397-08002B2CF9AE}" pid="10" name="Release Date">
    <vt:lpwstr>071016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ctr</vt:lpwstr>
  </property>
</Properties>
</file>